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Q3 2026 Distillation Unit Inspection Report</w:t>
      </w:r>
    </w:p>
    <w:p>
      <w:r>
        <w:t>Routine Q3 inspection of PDU-2 was carried out using ultrasonic thickness gauging and visual inspection. The overall structural integrity of the unit is satisfactory, with one critical finding regarding a high-pressure steam valve.</w:t>
      </w:r>
    </w:p>
    <w:p>
      <w:pPr>
        <w:pStyle w:val="ListBullet"/>
      </w:pPr>
      <w:r>
        <w:t>Schedule immediate replacement of Valve A-403 as per SOP-MRPL-402.</w:t>
      </w:r>
    </w:p>
    <w:p>
      <w:pPr>
        <w:pStyle w:val="ListBullet"/>
      </w:pPr>
      <w:r>
        <w:t>Order 2 units of A-403 valves from vendor (Larsen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