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TUTORIAL – 6: MANUAL TEST EXECUTION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Execution Report – DemoBlaze Website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To execute manual test cases for the DemoBlaze website, compare expected and actual results, identify defects, and prepare a test execution report with screenshot evidence.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2. Application Details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560"/>
        <w:tblGridChange w:id="0">
          <w:tblGrid>
            <w:gridCol w:w="4335"/>
            <w:gridCol w:w="456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Demo Web 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Application /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 Based Application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Login, Registration, Product Cart and Order Placement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SDLC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Agile Model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Python (as listed in the provided sheet)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IDE / Tool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Google Sheets / Docs; manual browser testing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https://www.demoblaze.com/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 / Test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Username, password, product details and customer/payment details</w:t>
            </w:r>
          </w:p>
        </w:tc>
      </w:tr>
    </w:tbl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3. Test Cases and Execution Results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515"/>
        <w:gridCol w:w="1485"/>
        <w:gridCol w:w="1530"/>
        <w:gridCol w:w="1530"/>
        <w:gridCol w:w="1380"/>
        <w:tblGridChange w:id="0">
          <w:tblGrid>
            <w:gridCol w:w="1455"/>
            <w:gridCol w:w="1515"/>
            <w:gridCol w:w="1485"/>
            <w:gridCol w:w="1530"/>
            <w:gridCol w:w="1530"/>
            <w:gridCol w:w="138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Scenario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 Website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website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Homepage loads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Homepage opened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username and valid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 is created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 created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 with Existing 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Already registered 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message is displayed.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message displayed.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 with Empty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Blank username and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 is rejected.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 rejected.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Registered username and correct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logs in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successful.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with Invalid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Registered username and incorrect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message is displayed.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message displayed.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with Empty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Blank username and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is rejected.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 rejected.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 Product to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 a product and click “Add to cart”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 is added to the cart.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 added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Product from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 a product and click “Delete”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 is removed from the cart.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 removed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Place an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Enter valid customer and payment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confirmation is displayed.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confirmation displayed.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4. Overall Spreadsheet Screenshots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40" w:lineRule="auto"/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  <w:rtl w:val="0"/>
        </w:rPr>
        <w:t xml:space="preserve">Screenshot 1 – Application details and first test cases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</w:rPr>
        <w:drawing>
          <wp:inline distB="114300" distT="114300" distL="114300" distR="114300">
            <wp:extent cx="5943600" cy="2743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240" w:lineRule="auto"/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  <w:rtl w:val="0"/>
        </w:rPr>
        <w:t xml:space="preserve">Screenshot 2 – Test cases M1–M10 and recorded statuses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</w:rPr>
        <w:drawing>
          <wp:inline distB="114300" distT="114300" distL="114300" distR="114300">
            <wp:extent cx="5943600" cy="2743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5. Individual Screenshot Evidence (One Section for Each Test Case)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Insert the corresponding website screenshot in each evidence area. The two uploaded images are spreadsheet screenshots only, so separate live website screenshots are still needed for complete evidence.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M1 – Open Website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M2 – User Registration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M3 – Registration with Existing Username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M4 – Registration with Empty Fields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M5 – Login with Valid Credentials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M6 – Login with Invalid Password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M7 – Login with Empty Fields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M8 – Add Product to Cart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M9 – Remove Product from Cart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305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M10 – Place an Order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6. Defect Report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70"/>
        <w:gridCol w:w="1845"/>
        <w:gridCol w:w="1755"/>
        <w:gridCol w:w="1800"/>
        <w:tblGridChange w:id="0">
          <w:tblGrid>
            <w:gridCol w:w="1725"/>
            <w:gridCol w:w="1770"/>
            <w:gridCol w:w="1845"/>
            <w:gridCol w:w="1755"/>
            <w:gridCol w:w="1800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Defect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Scenario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defects confirmed from the provided spreadsheet screenshots.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Requires live verification</w:t>
            </w:r>
          </w:p>
        </w:tc>
      </w:tr>
    </w:tbl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7. Test Summary Report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25"/>
        <w:tblGridChange w:id="0">
          <w:tblGrid>
            <w:gridCol w:w="4470"/>
            <w:gridCol w:w="442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Passed (as recorded in spreadsheet)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Failed (as recorded in spreadsheet)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Defects confirmed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confirmed; live verification required</w:t>
            </w:r>
          </w:p>
        </w:tc>
      </w:tr>
    </w:tbl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8. Conclusion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Ten manual test cases are documented for the DemoBlaze website. The report includes the supplied overview screenshots and a separate screenshot evidence section for every test case.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5.png"/><Relationship Id="rId22" Type="http://schemas.openxmlformats.org/officeDocument/2006/relationships/image" Target="media/image6.png"/><Relationship Id="rId10" Type="http://schemas.openxmlformats.org/officeDocument/2006/relationships/image" Target="media/image16.png"/><Relationship Id="rId21" Type="http://schemas.openxmlformats.org/officeDocument/2006/relationships/image" Target="media/image14.png"/><Relationship Id="rId13" Type="http://schemas.openxmlformats.org/officeDocument/2006/relationships/image" Target="media/image11.png"/><Relationship Id="rId24" Type="http://schemas.openxmlformats.org/officeDocument/2006/relationships/image" Target="media/image17.png"/><Relationship Id="rId12" Type="http://schemas.openxmlformats.org/officeDocument/2006/relationships/image" Target="media/image1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8.png"/><Relationship Id="rId17" Type="http://schemas.openxmlformats.org/officeDocument/2006/relationships/image" Target="media/image2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