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F2B2D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E-commerce Sales Analysis: Key Insights</w:t>
      </w:r>
    </w:p>
    <w:p w14:paraId="06F376B2">
      <w:pPr>
        <w:spacing w:after="120" w:line="276" w:lineRule="auto"/>
      </w:pPr>
      <w:r>
        <w:rPr>
          <w:rFonts w:ascii="Calibri" w:hAnsi="Calibri" w:eastAsia="Calibri" w:cs="Calibri"/>
          <w:color w:val="595959"/>
          <w:sz w:val="20"/>
          <w:szCs w:val="20"/>
        </w:rPr>
        <w:t>Period: 1 Jan to 25 Sep 2026  |  350 orders after cleaning  |  Cancelled orders excluded from sales KPIs</w:t>
      </w:r>
    </w:p>
    <w:p w14:paraId="0DE1DDEB">
      <w:pPr>
        <w:pStyle w:val="3"/>
        <w:spacing w:before="24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Headline KPIs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  <w:gridCol w:w="3800"/>
      </w:tblGrid>
      <w:tr w14:paraId="38161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81D2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343E2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4F87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3EA1C">
            <w:pPr>
              <w:jc w:val="left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Total Sales (excl. cancelled)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4ABA9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₹24,93,918.95</w:t>
            </w:r>
          </w:p>
        </w:tc>
      </w:tr>
      <w:tr w14:paraId="795E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48A85">
            <w:pPr>
              <w:jc w:val="left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Total Orders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5BD92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332</w:t>
            </w:r>
          </w:p>
        </w:tc>
      </w:tr>
      <w:tr w14:paraId="31A66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022F6">
            <w:pPr>
              <w:jc w:val="left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Total Quantity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03D38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1,021</w:t>
            </w:r>
          </w:p>
        </w:tc>
      </w:tr>
      <w:tr w14:paraId="43D0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697F9">
            <w:pPr>
              <w:jc w:val="left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Average Order Value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5CB18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₹7,511.80</w:t>
            </w:r>
          </w:p>
        </w:tc>
      </w:tr>
    </w:tbl>
    <w:p w14:paraId="2B101229">
      <w:pPr>
        <w:pStyle w:val="3"/>
        <w:spacing w:before="24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Insight 1: Furniture drives almost half of sales</w:t>
      </w:r>
    </w:p>
    <w:p w14:paraId="42677C1F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>Furniture brought in ₹11.61 lakh, 46.5% of total sales, well ahead of Electronics at 21.3%. The whole category comes from two products: Office Chair (₹6.18 lakh, 24.8%) and Study Table (₹5.42 lakh, 21.7%).</w:t>
      </w:r>
    </w:p>
    <w:p w14:paraId="4F893E46">
      <w:pPr>
        <w:spacing w:after="12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Implication: </w:t>
      </w:r>
      <w:r>
        <w:rPr>
          <w:rFonts w:ascii="Calibri" w:hAnsi="Calibri" w:eastAsia="Calibri" w:cs="Calibri"/>
          <w:sz w:val="22"/>
          <w:szCs w:val="22"/>
        </w:rPr>
        <w:t>revenue is concentrated in two items. A stock-out or price change on either would affect results far more than any other product, so they deserve priority for stock planning and promotion.</w:t>
      </w:r>
    </w:p>
    <w:p w14:paraId="303B4FE4">
      <w:pPr>
        <w:pStyle w:val="3"/>
        <w:spacing w:before="24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Insight 2: July was a clear peak</w:t>
      </w:r>
    </w:p>
    <w:p w14:paraId="52F8C362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>July sales reached ₹4.20 lakh, about 56% above the average of the other full months (Jan to Aug excluding July, about ₹2.69 lakh). No other month came close; the next best was February at ₹3.07 lakh. September (₹1.89 lakh) looks low only because the data stops on 25 Sep, so it should not be read as a decline.</w:t>
      </w:r>
    </w:p>
    <w:p w14:paraId="3D168322">
      <w:pPr>
        <w:spacing w:after="12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Implication: </w:t>
      </w:r>
      <w:r>
        <w:rPr>
          <w:rFonts w:ascii="Calibri" w:hAnsi="Calibri" w:eastAsia="Calibri" w:cs="Calibri"/>
          <w:sz w:val="22"/>
          <w:szCs w:val="22"/>
        </w:rPr>
        <w:t>find out whether July had a campaign, sale or seasonal demand, and repeat it if it worked.</w:t>
      </w:r>
    </w:p>
    <w:p w14:paraId="723342EA">
      <w:pPr>
        <w:pStyle w:val="3"/>
        <w:spacing w:before="24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Insight 3: Three cities bring in half of the sales</w:t>
      </w:r>
    </w:p>
    <w:p w14:paraId="55E09BEC">
      <w:pPr>
        <w:spacing w:after="120" w:line="276" w:lineRule="auto"/>
      </w:pPr>
      <w:r>
        <w:rPr>
          <w:rFonts w:ascii="Calibri" w:hAnsi="Calibri" w:eastAsia="Calibri" w:cs="Calibri"/>
          <w:sz w:val="22"/>
          <w:szCs w:val="22"/>
        </w:rPr>
        <w:t>Kochi leads with ₹4.46 lakh (17.9% of sales), followed by Bengaluru (₹3.99 lakh) and Coimbatore (₹3.99 lakh), both at 16.0%. Together the top three cities contribute 49.9% of sales. Trichy is the weakest named city at ₹2.04 lakh (8.2%), less than half of Kochi.</w:t>
      </w:r>
    </w:p>
    <w:p w14:paraId="5D94DCF6">
      <w:pPr>
        <w:spacing w:after="12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Implication: </w:t>
      </w:r>
      <w:r>
        <w:rPr>
          <w:rFonts w:ascii="Calibri" w:hAnsi="Calibri" w:eastAsia="Calibri" w:cs="Calibri"/>
          <w:sz w:val="22"/>
          <w:szCs w:val="22"/>
        </w:rPr>
        <w:t>marketing effort can be prioritised in Kochi, Bengaluru and Coimbatore. Trichy is worth investigating to see whether its low sales reflect low demand or a gap in coverage. About 1.6% of sales has no city recorded, which is worth fixing at data entry.</w:t>
      </w:r>
    </w:p>
    <w:p w14:paraId="02BC7D3E">
      <w:pPr>
        <w:pStyle w:val="3"/>
        <w:spacing w:before="24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Assumptions and data handling</w:t>
      </w:r>
      <w:bookmarkStart w:id="0" w:name="_GoBack"/>
      <w:bookmarkEnd w:id="0"/>
    </w:p>
    <w:p w14:paraId="4AB768C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Cancelled orders are excluded from Total Sales, Orders and Quantity but kept in the data so the Order Status chart shows them. Returned orders are included in the KPIs.</w:t>
      </w:r>
    </w:p>
    <w:p w14:paraId="0E9280E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3 duplicate rows were removed. 11 missing values were handled: 2 discounts back-calculated from sales, 1 product inferred from category and price, 8 customer names and cities set to "Unknown".</w:t>
      </w:r>
    </w:p>
    <w:p w14:paraId="46BD25E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City names were standardised (Bangalore to Bengaluru, capitalisation and trailing-space fixes), and Order Date was converted to a proper date type.</w:t>
      </w:r>
    </w:p>
    <w:p w14:paraId="5059709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ORD0105 recorded Quantity as "two" but a Sales Amount of ₹9,000. Quantity 2 was kept and Sales Amount set to ₹4,500 so the row matches Quantity × Price × (1 − Discount). Keeping ₹9,000 instead would raise Total Sales by ₹4,500.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665A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422</Words>
  <Characters>2105</Characters>
  <TotalTime>0</TotalTime>
  <ScaleCrop>false</ScaleCrop>
  <LinksUpToDate>false</LinksUpToDate>
  <CharactersWithSpaces>2504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2026-10-02T16:20:00Z</dcterms:created>
  <dc:creator>Un-named</dc:creator>
  <cp:lastModifiedBy>All is Well</cp:lastModifiedBy>
  <dcterms:modified xsi:type="dcterms:W3CDTF">2026-10-02T16:28:03Z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eyJoZGlkIjoiMzJlOGI3NjI3ZTlhYTFiNGZlYTg3ZmJkZDZlZDVkZGYiLCJ1c2VySWQiOiI1NjcxNDA2MDg2MDcifQ==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306E1BEDB7364A72962855A23691E722_12</vt:lpwstr>
  </property>
</Properties>
</file>