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92753" w14:textId="77777777" w:rsidR="003D12BF" w:rsidRPr="00704426" w:rsidRDefault="003D12BF" w:rsidP="003D12BF">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04426">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Capstone Project Report – Northwind Sales Analysis (Customer, Sales, Employee, Order, and Supply Analysis)</w:t>
      </w:r>
    </w:p>
    <w:p w14:paraId="19D68CBF" w14:textId="77777777" w:rsidR="003D12BF" w:rsidRPr="003D12BF" w:rsidRDefault="003D12BF" w:rsidP="003D12BF">
      <w:r w:rsidRPr="003D12BF">
        <w:rPr>
          <w:b/>
          <w:bCs/>
        </w:rPr>
        <w:t>1. Introduction</w:t>
      </w:r>
    </w:p>
    <w:p w14:paraId="56E23CF3" w14:textId="5D0B391E" w:rsidR="003D12BF" w:rsidRPr="003D12BF" w:rsidRDefault="003D12BF" w:rsidP="003D12BF">
      <w:r w:rsidRPr="003D12BF">
        <w:t xml:space="preserve">This Capstone Project Report presents an exhaustive analysis of the Northwind Traders' sales data, aiming to provide a granular understanding of various facets of their business operations. The primary purpose of this Northwind Sales Analysis is to delve into critical business areas such as customer behaviour, sales performance, employee efficiency, evolving order trends, and intricate supplier pricing patterns. By dissecting these components, we aim to uncover actionable insights that can drive strategic decision-making and optimize overall business performance. </w:t>
      </w:r>
    </w:p>
    <w:p w14:paraId="40490DA5" w14:textId="77777777" w:rsidR="003D12BF" w:rsidRPr="003D12BF" w:rsidRDefault="003D12BF" w:rsidP="003D12BF">
      <w:r w:rsidRPr="003D12BF">
        <w:t>The foundation of this analysis is the Northwind database, a rich and widely recognized sample dataset designed to illustrate relational database concepts. This database comprises several interconnected tables, each holding crucial information pertinent to our analysis:</w:t>
      </w:r>
    </w:p>
    <w:p w14:paraId="4D9D44D6" w14:textId="77777777" w:rsidR="003D12BF" w:rsidRPr="003D12BF" w:rsidRDefault="003D12BF" w:rsidP="003D12BF">
      <w:pPr>
        <w:numPr>
          <w:ilvl w:val="0"/>
          <w:numId w:val="1"/>
        </w:numPr>
      </w:pPr>
      <w:r w:rsidRPr="003D12BF">
        <w:rPr>
          <w:b/>
          <w:bCs/>
        </w:rPr>
        <w:t>Customers:</w:t>
      </w:r>
      <w:r w:rsidRPr="003D12BF">
        <w:t xml:space="preserve"> Contains details about Northwind's customer base, including their geographical location and contact information.</w:t>
      </w:r>
    </w:p>
    <w:p w14:paraId="2566B40A" w14:textId="77777777" w:rsidR="003D12BF" w:rsidRPr="003D12BF" w:rsidRDefault="003D12BF" w:rsidP="003D12BF">
      <w:pPr>
        <w:numPr>
          <w:ilvl w:val="0"/>
          <w:numId w:val="1"/>
        </w:numPr>
      </w:pPr>
      <w:r w:rsidRPr="003D12BF">
        <w:rPr>
          <w:b/>
          <w:bCs/>
        </w:rPr>
        <w:t>Orders:</w:t>
      </w:r>
      <w:r w:rsidRPr="003D12BF">
        <w:t xml:space="preserve"> Records all customer orders, including order dates, shipping information, and the employee responsible for the order.</w:t>
      </w:r>
    </w:p>
    <w:p w14:paraId="7015A57E" w14:textId="634807DD" w:rsidR="003D12BF" w:rsidRPr="003D12BF" w:rsidRDefault="003D12BF" w:rsidP="003D12BF">
      <w:pPr>
        <w:numPr>
          <w:ilvl w:val="0"/>
          <w:numId w:val="1"/>
        </w:numPr>
      </w:pPr>
      <w:r w:rsidRPr="003D12BF">
        <w:rPr>
          <w:b/>
          <w:bCs/>
        </w:rPr>
        <w:t>Order Details:</w:t>
      </w:r>
      <w:r w:rsidRPr="003D12BF">
        <w:t xml:space="preserve"> Provides specific line-item details for each order, such as product ID, quantity, and unit price.</w:t>
      </w:r>
    </w:p>
    <w:p w14:paraId="097AC604" w14:textId="77777777" w:rsidR="003D12BF" w:rsidRPr="003D12BF" w:rsidRDefault="003D12BF" w:rsidP="003D12BF">
      <w:pPr>
        <w:numPr>
          <w:ilvl w:val="0"/>
          <w:numId w:val="1"/>
        </w:numPr>
      </w:pPr>
      <w:r w:rsidRPr="003D12BF">
        <w:rPr>
          <w:b/>
          <w:bCs/>
        </w:rPr>
        <w:t>Employees:</w:t>
      </w:r>
      <w:r w:rsidRPr="003D12BF">
        <w:t xml:space="preserve"> Stores information about Northwind's workforce, including their job titles and reporting structures.</w:t>
      </w:r>
    </w:p>
    <w:p w14:paraId="460B4904" w14:textId="77777777" w:rsidR="003D12BF" w:rsidRPr="003D12BF" w:rsidRDefault="003D12BF" w:rsidP="003D12BF">
      <w:pPr>
        <w:numPr>
          <w:ilvl w:val="0"/>
          <w:numId w:val="1"/>
        </w:numPr>
      </w:pPr>
      <w:r w:rsidRPr="003D12BF">
        <w:rPr>
          <w:b/>
          <w:bCs/>
        </w:rPr>
        <w:t>Products:</w:t>
      </w:r>
      <w:r w:rsidRPr="003D12BF">
        <w:t xml:space="preserve"> Lists all products offered by Northwind, along with their categories, unit prices, and quantities per unit.</w:t>
      </w:r>
    </w:p>
    <w:p w14:paraId="39FCF5D2" w14:textId="77777777" w:rsidR="003D12BF" w:rsidRPr="003D12BF" w:rsidRDefault="003D12BF" w:rsidP="003D12BF">
      <w:pPr>
        <w:numPr>
          <w:ilvl w:val="0"/>
          <w:numId w:val="1"/>
        </w:numPr>
      </w:pPr>
      <w:r w:rsidRPr="003D12BF">
        <w:rPr>
          <w:b/>
          <w:bCs/>
        </w:rPr>
        <w:t>Suppliers:</w:t>
      </w:r>
      <w:r w:rsidRPr="003D12BF">
        <w:t xml:space="preserve"> Contains details about the companies that supply products to Northwind, including their locations.</w:t>
      </w:r>
    </w:p>
    <w:p w14:paraId="386F4B30" w14:textId="77777777" w:rsidR="003D12BF" w:rsidRPr="003D12BF" w:rsidRDefault="003D12BF" w:rsidP="003D12BF">
      <w:pPr>
        <w:numPr>
          <w:ilvl w:val="0"/>
          <w:numId w:val="1"/>
        </w:numPr>
      </w:pPr>
      <w:r w:rsidRPr="003D12BF">
        <w:rPr>
          <w:b/>
          <w:bCs/>
        </w:rPr>
        <w:t>Categories:</w:t>
      </w:r>
      <w:r w:rsidRPr="003D12BF">
        <w:t xml:space="preserve"> Classifies products into different categories, aiding in product-level analysis.</w:t>
      </w:r>
    </w:p>
    <w:p w14:paraId="20A4385F" w14:textId="77777777" w:rsidR="003D12BF" w:rsidRPr="003D12BF" w:rsidRDefault="003D12BF" w:rsidP="003D12BF">
      <w:r w:rsidRPr="003D12BF">
        <w:t>The importance of performing Exploratory Data Analysis (EDA) cannot be overstated in this project. EDA is a crucial step that involves a systematic investigation of the data to discover patterns, detect anomalies, test hypotheses, and check assumptions with the help of statistical graphics and other data visualization methods. We will utilize a three-pronged approach for EDA: SQL for robust querying and understanding underlying data relationships, Excel for flexible tabular analysis and initial visualizations, and Power BI for creating dynamic and interactive dashboards that bring the insights to life. This multi-tool methodology ensures a thorough and validated analytical process.</w:t>
      </w:r>
    </w:p>
    <w:p w14:paraId="5713565F" w14:textId="77777777" w:rsidR="003D12BF" w:rsidRPr="003D12BF" w:rsidRDefault="003D12BF" w:rsidP="003D12BF">
      <w:r w:rsidRPr="003D12BF">
        <w:rPr>
          <w:b/>
          <w:bCs/>
        </w:rPr>
        <w:t>2. Objectives</w:t>
      </w:r>
    </w:p>
    <w:p w14:paraId="1BE56DC1" w14:textId="77777777" w:rsidR="003D12BF" w:rsidRPr="003D12BF" w:rsidRDefault="003D12BF" w:rsidP="003D12BF">
      <w:r w:rsidRPr="003D12BF">
        <w:t>The comprehensive objectives of this Northwind Sales Analysis are meticulously defined to cover key business aspects:</w:t>
      </w:r>
    </w:p>
    <w:p w14:paraId="4BB04686" w14:textId="06C68959" w:rsidR="003D12BF" w:rsidRPr="003D12BF" w:rsidRDefault="003D12BF" w:rsidP="003D12BF">
      <w:pPr>
        <w:numPr>
          <w:ilvl w:val="0"/>
          <w:numId w:val="2"/>
        </w:numPr>
      </w:pPr>
      <w:r w:rsidRPr="003D12BF">
        <w:rPr>
          <w:b/>
          <w:bCs/>
        </w:rPr>
        <w:t>To analyse customer purchase behaviour and segmentation:</w:t>
      </w:r>
      <w:r w:rsidRPr="003D12BF">
        <w:t xml:space="preserve"> This involves understanding who Northwind's customers are, where they are located, their purchasing frequency, and identifying distinct customer segments for targeted marketing and loyalty programs.</w:t>
      </w:r>
    </w:p>
    <w:p w14:paraId="448E7279" w14:textId="77777777" w:rsidR="003D12BF" w:rsidRPr="003D12BF" w:rsidRDefault="003D12BF" w:rsidP="003D12BF">
      <w:pPr>
        <w:numPr>
          <w:ilvl w:val="0"/>
          <w:numId w:val="2"/>
        </w:numPr>
      </w:pPr>
      <w:r w:rsidRPr="003D12BF">
        <w:rPr>
          <w:b/>
          <w:bCs/>
        </w:rPr>
        <w:lastRenderedPageBreak/>
        <w:t>To evaluate sales performance across regions, products, and time periods:</w:t>
      </w:r>
      <w:r w:rsidRPr="003D12BF">
        <w:t xml:space="preserve"> This objective focuses on identifying top-performing geographical areas, best-selling products, and understanding sales trends over various timeframes (e.g., monthly, quarterly, annually) to inform inventory management and sales strategies.</w:t>
      </w:r>
    </w:p>
    <w:p w14:paraId="27CA6619" w14:textId="77777777" w:rsidR="003D12BF" w:rsidRPr="003D12BF" w:rsidRDefault="003D12BF" w:rsidP="003D12BF">
      <w:pPr>
        <w:numPr>
          <w:ilvl w:val="0"/>
          <w:numId w:val="2"/>
        </w:numPr>
      </w:pPr>
      <w:r w:rsidRPr="003D12BF">
        <w:rPr>
          <w:b/>
          <w:bCs/>
        </w:rPr>
        <w:t>To examine employee performance based on sales handled:</w:t>
      </w:r>
      <w:r w:rsidRPr="003D12BF">
        <w:t xml:space="preserve"> By attributing sales to individual employees, we aim to identify top performers, assess potential training needs for underperforming staff, and understand the impact of employee efforts on overall revenue.</w:t>
      </w:r>
    </w:p>
    <w:p w14:paraId="1ABB9444" w14:textId="6B17E2BA" w:rsidR="003D12BF" w:rsidRPr="003D12BF" w:rsidRDefault="003D12BF" w:rsidP="003D12BF">
      <w:pPr>
        <w:numPr>
          <w:ilvl w:val="0"/>
          <w:numId w:val="2"/>
        </w:numPr>
      </w:pPr>
      <w:r w:rsidRPr="003D12BF">
        <w:rPr>
          <w:b/>
          <w:bCs/>
        </w:rPr>
        <w:t>To study order trends, frequency, and revenue contribution:</w:t>
      </w:r>
      <w:r w:rsidRPr="003D12BF">
        <w:t xml:space="preserve"> This objective involves analysing the volume and value of orders over time, identifying peak seasons, understanding average order values, and assessing how different order characteristics contribute to total revenue.</w:t>
      </w:r>
    </w:p>
    <w:p w14:paraId="2933BD9C" w14:textId="77777777" w:rsidR="003D12BF" w:rsidRPr="003D12BF" w:rsidRDefault="003D12BF" w:rsidP="003D12BF">
      <w:pPr>
        <w:numPr>
          <w:ilvl w:val="0"/>
          <w:numId w:val="2"/>
        </w:numPr>
      </w:pPr>
      <w:r w:rsidRPr="003D12BF">
        <w:rPr>
          <w:b/>
          <w:bCs/>
        </w:rPr>
        <w:t>To explore supplier pricing trends and category-wise cost variations across countries:</w:t>
      </w:r>
      <w:r w:rsidRPr="003D12BF">
        <w:t xml:space="preserve"> This crucial objective aims to optimize the supply chain by scrutinizing product pricing from different suppliers, understanding cost variations based on product categories, and identifying potential cost-saving opportunities through negotiation or alternative sourcing.</w:t>
      </w:r>
    </w:p>
    <w:p w14:paraId="40FDD965" w14:textId="77777777" w:rsidR="003D12BF" w:rsidRPr="003D12BF" w:rsidRDefault="003D12BF" w:rsidP="003D12BF">
      <w:r w:rsidRPr="003D12BF">
        <w:rPr>
          <w:b/>
          <w:bCs/>
        </w:rPr>
        <w:t>3. Scope of Analysis</w:t>
      </w:r>
    </w:p>
    <w:p w14:paraId="6589DBB8" w14:textId="77777777" w:rsidR="003D12BF" w:rsidRPr="003D12BF" w:rsidRDefault="003D12BF" w:rsidP="003D12BF">
      <w:r w:rsidRPr="003D12BF">
        <w:t>The scope of this analysis is clearly defined to ensure a focused and impactful project:</w:t>
      </w:r>
    </w:p>
    <w:p w14:paraId="74BF0E7D" w14:textId="77777777" w:rsidR="003D12BF" w:rsidRPr="003D12BF" w:rsidRDefault="003D12BF" w:rsidP="003D12BF">
      <w:pPr>
        <w:numPr>
          <w:ilvl w:val="0"/>
          <w:numId w:val="3"/>
        </w:numPr>
      </w:pPr>
      <w:r w:rsidRPr="003D12BF">
        <w:rPr>
          <w:b/>
          <w:bCs/>
        </w:rPr>
        <w:t>SQL-based EDA for detailed querying and relationship understanding:</w:t>
      </w:r>
      <w:r w:rsidRPr="003D12BF">
        <w:t xml:space="preserve"> SQL will be primarily utilized for initial data extraction, cleaning, transformation, and complex joins to prepare the data for subsequent analysis. It will also be instrumental in understanding the intricate relationships between tables in the Northwind database.</w:t>
      </w:r>
    </w:p>
    <w:p w14:paraId="609BB9C9" w14:textId="77777777" w:rsidR="003D12BF" w:rsidRPr="003D12BF" w:rsidRDefault="003D12BF" w:rsidP="003D12BF">
      <w:pPr>
        <w:numPr>
          <w:ilvl w:val="0"/>
          <w:numId w:val="3"/>
        </w:numPr>
      </w:pPr>
      <w:r w:rsidRPr="003D12BF">
        <w:rPr>
          <w:b/>
          <w:bCs/>
        </w:rPr>
        <w:t>Excel for pivot-table-based analysis and visualization:</w:t>
      </w:r>
      <w:r w:rsidRPr="003D12BF">
        <w:t xml:space="preserve"> Excel will serve as an intermediate tool for conducting rapid, ad-hoc analyses using pivot tables, which are excellent for summarizing and aggregating data. It will also be used for creating preliminary charts and graphs to quickly identify trends and outliers before moving to Power BI.</w:t>
      </w:r>
    </w:p>
    <w:p w14:paraId="51332EE8" w14:textId="77777777" w:rsidR="003D12BF" w:rsidRPr="003D12BF" w:rsidRDefault="003D12BF" w:rsidP="003D12BF">
      <w:pPr>
        <w:numPr>
          <w:ilvl w:val="0"/>
          <w:numId w:val="3"/>
        </w:numPr>
      </w:pPr>
      <w:r w:rsidRPr="003D12BF">
        <w:rPr>
          <w:b/>
          <w:bCs/>
        </w:rPr>
        <w:t>Power BI for interactive dashboards:</w:t>
      </w:r>
      <w:r w:rsidRPr="003D12BF">
        <w:t xml:space="preserve"> Power BI will be the ultimate platform for creating rich, interactive, and visually appealing dashboards. These dashboards will allow stakeholders to explore the data dynamically, drill down into details, and gain insights without requiring technical expertise.</w:t>
      </w:r>
    </w:p>
    <w:p w14:paraId="339B60C9" w14:textId="5ACA0B60" w:rsidR="003D12BF" w:rsidRPr="003D12BF" w:rsidRDefault="003D12BF" w:rsidP="003D12BF">
      <w:pPr>
        <w:numPr>
          <w:ilvl w:val="0"/>
          <w:numId w:val="3"/>
        </w:numPr>
      </w:pPr>
      <w:r w:rsidRPr="003D12BF">
        <w:rPr>
          <w:b/>
          <w:bCs/>
        </w:rPr>
        <w:t>Focus on key KPIs:</w:t>
      </w:r>
      <w:r w:rsidRPr="003D12BF">
        <w:t xml:space="preserve"> The analysis will centre around critical Key Performance Indicators (KPIs) that directly reflect business health and performance. These include:</w:t>
      </w:r>
    </w:p>
    <w:p w14:paraId="6ADCC513" w14:textId="77777777" w:rsidR="003D12BF" w:rsidRPr="003D12BF" w:rsidRDefault="003D12BF" w:rsidP="003D12BF">
      <w:pPr>
        <w:numPr>
          <w:ilvl w:val="1"/>
          <w:numId w:val="3"/>
        </w:numPr>
      </w:pPr>
      <w:r w:rsidRPr="003D12BF">
        <w:rPr>
          <w:b/>
          <w:bCs/>
        </w:rPr>
        <w:t>Total Revenue:</w:t>
      </w:r>
      <w:r w:rsidRPr="003D12BF">
        <w:t xml:space="preserve"> The aggregate sales generated.</w:t>
      </w:r>
    </w:p>
    <w:p w14:paraId="328163BD" w14:textId="77777777" w:rsidR="003D12BF" w:rsidRPr="003D12BF" w:rsidRDefault="003D12BF" w:rsidP="003D12BF">
      <w:pPr>
        <w:numPr>
          <w:ilvl w:val="1"/>
          <w:numId w:val="3"/>
        </w:numPr>
      </w:pPr>
      <w:r w:rsidRPr="003D12BF">
        <w:rPr>
          <w:b/>
          <w:bCs/>
        </w:rPr>
        <w:t>Average Order Value:</w:t>
      </w:r>
      <w:r w:rsidRPr="003D12BF">
        <w:t xml:space="preserve"> The average monetary value of each customer order.</w:t>
      </w:r>
    </w:p>
    <w:p w14:paraId="28DC0AA0" w14:textId="77777777" w:rsidR="003D12BF" w:rsidRPr="003D12BF" w:rsidRDefault="003D12BF" w:rsidP="003D12BF">
      <w:pPr>
        <w:numPr>
          <w:ilvl w:val="1"/>
          <w:numId w:val="3"/>
        </w:numPr>
      </w:pPr>
      <w:r w:rsidRPr="003D12BF">
        <w:rPr>
          <w:b/>
          <w:bCs/>
        </w:rPr>
        <w:t>Top Customers:</w:t>
      </w:r>
      <w:r w:rsidRPr="003D12BF">
        <w:t xml:space="preserve"> Identification of customers contributing the most to revenue.</w:t>
      </w:r>
    </w:p>
    <w:p w14:paraId="1C90621C" w14:textId="77777777" w:rsidR="003D12BF" w:rsidRPr="003D12BF" w:rsidRDefault="003D12BF" w:rsidP="003D12BF">
      <w:pPr>
        <w:numPr>
          <w:ilvl w:val="1"/>
          <w:numId w:val="3"/>
        </w:numPr>
      </w:pPr>
      <w:r w:rsidRPr="003D12BF">
        <w:rPr>
          <w:b/>
          <w:bCs/>
        </w:rPr>
        <w:t>Top-Selling Products:</w:t>
      </w:r>
      <w:r w:rsidRPr="003D12BF">
        <w:t xml:space="preserve"> Products generating the highest sales volume and revenue.</w:t>
      </w:r>
    </w:p>
    <w:p w14:paraId="6A1098AC" w14:textId="77777777" w:rsidR="003D12BF" w:rsidRPr="003D12BF" w:rsidRDefault="003D12BF" w:rsidP="003D12BF">
      <w:pPr>
        <w:numPr>
          <w:ilvl w:val="1"/>
          <w:numId w:val="3"/>
        </w:numPr>
      </w:pPr>
      <w:r w:rsidRPr="003D12BF">
        <w:rPr>
          <w:b/>
          <w:bCs/>
        </w:rPr>
        <w:t>Employee Performance:</w:t>
      </w:r>
      <w:r w:rsidRPr="003D12BF">
        <w:t xml:space="preserve"> Metrics related to sales handled by individual employees.</w:t>
      </w:r>
    </w:p>
    <w:p w14:paraId="19BDE9C9" w14:textId="77777777" w:rsidR="003D12BF" w:rsidRPr="003D12BF" w:rsidRDefault="003D12BF" w:rsidP="003D12BF">
      <w:pPr>
        <w:numPr>
          <w:ilvl w:val="1"/>
          <w:numId w:val="3"/>
        </w:numPr>
      </w:pPr>
      <w:r w:rsidRPr="003D12BF">
        <w:rPr>
          <w:b/>
          <w:bCs/>
        </w:rPr>
        <w:t>Regional Supply Price Variations:</w:t>
      </w:r>
      <w:r w:rsidRPr="003D12BF">
        <w:t xml:space="preserve"> Analysis of product costs from suppliers across different geographical locations.</w:t>
      </w:r>
    </w:p>
    <w:p w14:paraId="25BE7BB1" w14:textId="77777777" w:rsidR="003D12BF" w:rsidRPr="003D12BF" w:rsidRDefault="003D12BF" w:rsidP="003D12BF">
      <w:r w:rsidRPr="003D12BF">
        <w:rPr>
          <w:b/>
          <w:bCs/>
        </w:rPr>
        <w:t>4. Goals</w:t>
      </w:r>
    </w:p>
    <w:p w14:paraId="179C0D92" w14:textId="77777777" w:rsidR="003D12BF" w:rsidRPr="003D12BF" w:rsidRDefault="003D12BF" w:rsidP="003D12BF">
      <w:r w:rsidRPr="003D12BF">
        <w:lastRenderedPageBreak/>
        <w:t>The overarching goals of this Capstone Project are to:</w:t>
      </w:r>
    </w:p>
    <w:p w14:paraId="58C14C77" w14:textId="77777777" w:rsidR="003D12BF" w:rsidRPr="003D12BF" w:rsidRDefault="003D12BF" w:rsidP="003D12BF">
      <w:pPr>
        <w:numPr>
          <w:ilvl w:val="0"/>
          <w:numId w:val="4"/>
        </w:numPr>
      </w:pPr>
      <w:r w:rsidRPr="003D12BF">
        <w:rPr>
          <w:b/>
          <w:bCs/>
        </w:rPr>
        <w:t>Deliver data-driven insights for decision-making:</w:t>
      </w:r>
      <w:r w:rsidRPr="003D12BF">
        <w:t xml:space="preserve"> The primary goal is to translate raw data into clear, concise, and actionable insights that can directly inform strategic and operational decisions across various business functions.</w:t>
      </w:r>
    </w:p>
    <w:p w14:paraId="0A9F5470" w14:textId="77777777" w:rsidR="003D12BF" w:rsidRPr="003D12BF" w:rsidRDefault="003D12BF" w:rsidP="003D12BF">
      <w:pPr>
        <w:numPr>
          <w:ilvl w:val="0"/>
          <w:numId w:val="4"/>
        </w:numPr>
      </w:pPr>
      <w:r w:rsidRPr="003D12BF">
        <w:rPr>
          <w:b/>
          <w:bCs/>
        </w:rPr>
        <w:t>Provide recommendations to improve sales, optimize supplier pricing, and enhance employee productivity:</w:t>
      </w:r>
      <w:r w:rsidRPr="003D12BF">
        <w:t xml:space="preserve"> Based on the insights generated, we aim to formulate concrete, implementable recommendations that can lead to tangible improvements in sales figures, reduce procurement costs, and boost the efficiency of the workforce.</w:t>
      </w:r>
    </w:p>
    <w:p w14:paraId="1D77130C" w14:textId="77777777" w:rsidR="003D12BF" w:rsidRPr="003D12BF" w:rsidRDefault="003D12BF" w:rsidP="003D12BF">
      <w:pPr>
        <w:numPr>
          <w:ilvl w:val="0"/>
          <w:numId w:val="4"/>
        </w:numPr>
      </w:pPr>
      <w:r w:rsidRPr="003D12BF">
        <w:rPr>
          <w:b/>
          <w:bCs/>
        </w:rPr>
        <w:t>Create a final presentation with visuals, insights, and actionable strategies:</w:t>
      </w:r>
      <w:r w:rsidRPr="003D12BF">
        <w:t xml:space="preserve"> The culmination of this project will be a professional and compelling presentation that effectively communicates the methodology, key findings, supporting visuals, and strategic recommendations to stakeholders.</w:t>
      </w:r>
    </w:p>
    <w:p w14:paraId="7C227C56" w14:textId="77777777" w:rsidR="003D12BF" w:rsidRPr="003D12BF" w:rsidRDefault="003D12BF" w:rsidP="003D12BF">
      <w:r w:rsidRPr="003D12BF">
        <w:rPr>
          <w:b/>
          <w:bCs/>
        </w:rPr>
        <w:t>5. Procedure (Methodology)</w:t>
      </w:r>
    </w:p>
    <w:p w14:paraId="5208EC4C" w14:textId="77777777" w:rsidR="003D12BF" w:rsidRPr="003D12BF" w:rsidRDefault="003D12BF" w:rsidP="003D12BF">
      <w:r w:rsidRPr="003D12BF">
        <w:t>Our analytical methodology is structured in two distinct phases: SQL &amp; Excel for foundational EDA, followed by Power BI for advanced dashboarding and visualization.</w:t>
      </w:r>
    </w:p>
    <w:p w14:paraId="3B5DFF98" w14:textId="77777777" w:rsidR="003D12BF" w:rsidRPr="003D12BF" w:rsidRDefault="003D12BF" w:rsidP="003D12BF">
      <w:r w:rsidRPr="003D12BF">
        <w:rPr>
          <w:b/>
          <w:bCs/>
        </w:rPr>
        <w:t>A. SQL &amp; Excel – EDA Process</w:t>
      </w:r>
    </w:p>
    <w:p w14:paraId="202337D9" w14:textId="77777777" w:rsidR="003D12BF" w:rsidRPr="003D12BF" w:rsidRDefault="003D12BF" w:rsidP="003D12BF">
      <w:r w:rsidRPr="003D12BF">
        <w:t>This phase focuses on the initial interaction with the raw data, ensuring its quality and preparing it for deeper analysis.</w:t>
      </w:r>
    </w:p>
    <w:p w14:paraId="02223A35" w14:textId="77777777" w:rsidR="003D12BF" w:rsidRPr="003D12BF" w:rsidRDefault="003D12BF" w:rsidP="003D12BF">
      <w:pPr>
        <w:numPr>
          <w:ilvl w:val="0"/>
          <w:numId w:val="5"/>
        </w:numPr>
      </w:pPr>
      <w:r w:rsidRPr="003D12BF">
        <w:rPr>
          <w:b/>
          <w:bCs/>
        </w:rPr>
        <w:t>Data Importing</w:t>
      </w:r>
      <w:r w:rsidRPr="003D12BF">
        <w:t xml:space="preserve">: The first step involves extracting the necessary data from the Northwind database. This will typically be achieved by connecting to the SQL Server database where Northwind resides and querying the relevant tables (Customers, Orders, </w:t>
      </w:r>
      <w:proofErr w:type="spellStart"/>
      <w:r w:rsidRPr="003D12BF">
        <w:t>OrderDetails</w:t>
      </w:r>
      <w:proofErr w:type="spellEnd"/>
      <w:r w:rsidRPr="003D12BF">
        <w:t>, Employees, Products, Suppliers, Categories) to either pull data directly into SQL Server Management Studio (SSMS) for querying or exporting it to Excel for immediate use.</w:t>
      </w:r>
    </w:p>
    <w:p w14:paraId="761FA378" w14:textId="2CEFD8B4" w:rsidR="003D12BF" w:rsidRPr="003D12BF" w:rsidRDefault="003D12BF" w:rsidP="003D12BF">
      <w:pPr>
        <w:numPr>
          <w:ilvl w:val="0"/>
          <w:numId w:val="5"/>
        </w:numPr>
      </w:pPr>
      <w:r w:rsidRPr="003D12BF">
        <w:rPr>
          <w:b/>
          <w:bCs/>
        </w:rPr>
        <w:t>Data Modelling</w:t>
      </w:r>
      <w:r w:rsidRPr="003D12BF">
        <w:t>: Before querying, a thorough understanding of the database's Entity Relationship Diagram (ERD) is paramount. This involves identifying primary and foreign keys and comprehending how different tables are related (e.g., Orders table linked to Customers by Customer</w:t>
      </w:r>
      <w:r>
        <w:t>ID</w:t>
      </w:r>
      <w:r w:rsidRPr="003D12BF">
        <w:t xml:space="preserve">, Order Details linked to Orders by </w:t>
      </w:r>
      <w:proofErr w:type="spellStart"/>
      <w:r w:rsidRPr="003D12BF">
        <w:t>OrderID</w:t>
      </w:r>
      <w:proofErr w:type="spellEnd"/>
      <w:r w:rsidRPr="003D12BF">
        <w:t xml:space="preserve"> and to Products by </w:t>
      </w:r>
      <w:proofErr w:type="spellStart"/>
      <w:r w:rsidRPr="003D12BF">
        <w:t>ProductID</w:t>
      </w:r>
      <w:proofErr w:type="spellEnd"/>
      <w:r w:rsidRPr="003D12BF">
        <w:t>). This understanding is critical for writing accurate join operations.</w:t>
      </w:r>
    </w:p>
    <w:p w14:paraId="36CF36D8" w14:textId="77777777" w:rsidR="003D12BF" w:rsidRPr="003D12BF" w:rsidRDefault="003D12BF" w:rsidP="003D12BF">
      <w:pPr>
        <w:numPr>
          <w:ilvl w:val="0"/>
          <w:numId w:val="5"/>
        </w:numPr>
      </w:pPr>
      <w:r w:rsidRPr="003D12BF">
        <w:rPr>
          <w:b/>
          <w:bCs/>
        </w:rPr>
        <w:t>Data Cleaning</w:t>
      </w:r>
      <w:r w:rsidRPr="003D12BF">
        <w:t>: This is a critical step to ensure data quality and consistency. Common data cleaning tasks will include:</w:t>
      </w:r>
    </w:p>
    <w:p w14:paraId="4677DDCD" w14:textId="77777777" w:rsidR="003D12BF" w:rsidRPr="003D12BF" w:rsidRDefault="003D12BF" w:rsidP="003D12BF">
      <w:pPr>
        <w:numPr>
          <w:ilvl w:val="1"/>
          <w:numId w:val="5"/>
        </w:numPr>
      </w:pPr>
      <w:r w:rsidRPr="003D12BF">
        <w:rPr>
          <w:b/>
          <w:bCs/>
        </w:rPr>
        <w:t>Handling Null Values</w:t>
      </w:r>
      <w:r w:rsidRPr="003D12BF">
        <w:t>: Identifying columns with missing values and deciding on an appropriate strategy (e.g., imputation, removal of rows if permissible, or noting their presence if non-critical).</w:t>
      </w:r>
    </w:p>
    <w:p w14:paraId="7F84D96F" w14:textId="77777777" w:rsidR="003D12BF" w:rsidRPr="003D12BF" w:rsidRDefault="003D12BF" w:rsidP="003D12BF">
      <w:pPr>
        <w:numPr>
          <w:ilvl w:val="1"/>
          <w:numId w:val="5"/>
        </w:numPr>
      </w:pPr>
      <w:r w:rsidRPr="003D12BF">
        <w:rPr>
          <w:b/>
          <w:bCs/>
        </w:rPr>
        <w:t>Duplicates</w:t>
      </w:r>
      <w:r w:rsidRPr="003D12BF">
        <w:t xml:space="preserve">: Detecting and removing duplicate records to prevent skewed analysis results. For instance, ensuring each </w:t>
      </w:r>
      <w:proofErr w:type="spellStart"/>
      <w:r w:rsidRPr="003D12BF">
        <w:t>OrderID</w:t>
      </w:r>
      <w:proofErr w:type="spellEnd"/>
      <w:r w:rsidRPr="003D12BF">
        <w:t xml:space="preserve"> is unique in the Orders table.</w:t>
      </w:r>
    </w:p>
    <w:p w14:paraId="269680F8" w14:textId="77777777" w:rsidR="003D12BF" w:rsidRPr="003D12BF" w:rsidRDefault="003D12BF" w:rsidP="003D12BF">
      <w:pPr>
        <w:numPr>
          <w:ilvl w:val="1"/>
          <w:numId w:val="5"/>
        </w:numPr>
      </w:pPr>
      <w:r w:rsidRPr="003D12BF">
        <w:rPr>
          <w:b/>
          <w:bCs/>
        </w:rPr>
        <w:t>Data Consistency</w:t>
      </w:r>
      <w:r w:rsidRPr="003D12BF">
        <w:t>: Checking for consistent data formats (e.g., date formats, consistent spelling of country names), correcting typos, and standardizing categorical data where necessary.</w:t>
      </w:r>
    </w:p>
    <w:p w14:paraId="76DE777E" w14:textId="77777777" w:rsidR="003D12BF" w:rsidRPr="003D12BF" w:rsidRDefault="003D12BF" w:rsidP="003D12BF">
      <w:pPr>
        <w:numPr>
          <w:ilvl w:val="0"/>
          <w:numId w:val="5"/>
        </w:numPr>
      </w:pPr>
      <w:r w:rsidRPr="003D12BF">
        <w:rPr>
          <w:b/>
          <w:bCs/>
        </w:rPr>
        <w:t>Data Manipulation</w:t>
      </w:r>
      <w:r w:rsidRPr="003D12BF">
        <w:t>: This involves writing SQL queries to transform, filter, and aggregate the data to answer specific analytical questions.</w:t>
      </w:r>
    </w:p>
    <w:p w14:paraId="721C7A4B" w14:textId="766D2C98" w:rsidR="003D12BF" w:rsidRPr="003D12BF" w:rsidRDefault="003D12BF" w:rsidP="003D12BF">
      <w:pPr>
        <w:numPr>
          <w:ilvl w:val="0"/>
          <w:numId w:val="5"/>
        </w:numPr>
      </w:pPr>
      <w:proofErr w:type="spellStart"/>
      <w:r w:rsidRPr="003D12BF">
        <w:rPr>
          <w:b/>
          <w:bCs/>
        </w:rPr>
        <w:lastRenderedPageBreak/>
        <w:t>isualization</w:t>
      </w:r>
      <w:proofErr w:type="spellEnd"/>
      <w:r w:rsidRPr="003D12BF">
        <w:rPr>
          <w:b/>
          <w:bCs/>
        </w:rPr>
        <w:t xml:space="preserve"> in Excel</w:t>
      </w:r>
      <w:r w:rsidRPr="003D12BF">
        <w:t>: After performing SQL queries, the resulting datasets can be imported into Excel for further analysis using pivot tables. Pivot tables are highly effective for summarizing data and performing multi-dimensional analysis. Excel's charting capabilities will be used to create:</w:t>
      </w:r>
    </w:p>
    <w:p w14:paraId="498C821C" w14:textId="77777777" w:rsidR="003D12BF" w:rsidRPr="003D12BF" w:rsidRDefault="003D12BF" w:rsidP="003D12BF">
      <w:pPr>
        <w:numPr>
          <w:ilvl w:val="1"/>
          <w:numId w:val="5"/>
        </w:numPr>
      </w:pPr>
      <w:r w:rsidRPr="003D12BF">
        <w:rPr>
          <w:b/>
          <w:bCs/>
        </w:rPr>
        <w:t>Bar Charts/Column Charts:</w:t>
      </w:r>
      <w:r w:rsidRPr="003D12BF">
        <w:t xml:space="preserve"> For comparing categorical data (e.g., </w:t>
      </w:r>
      <w:proofErr w:type="spellStart"/>
      <w:r w:rsidRPr="003D12BF">
        <w:t>Total_Customers</w:t>
      </w:r>
      <w:proofErr w:type="spellEnd"/>
      <w:r w:rsidRPr="003D12BF">
        <w:t xml:space="preserve"> by Country, </w:t>
      </w:r>
    </w:p>
    <w:p w14:paraId="2E68578C" w14:textId="77777777" w:rsidR="003D12BF" w:rsidRPr="003D12BF" w:rsidRDefault="003D12BF" w:rsidP="003D12BF">
      <w:proofErr w:type="spellStart"/>
      <w:r w:rsidRPr="003D12BF">
        <w:t>Total_Sales</w:t>
      </w:r>
      <w:proofErr w:type="spellEnd"/>
      <w:r w:rsidRPr="003D12BF">
        <w:t xml:space="preserve"> by </w:t>
      </w:r>
      <w:proofErr w:type="spellStart"/>
      <w:r w:rsidRPr="003D12BF">
        <w:t>ProductCategory</w:t>
      </w:r>
      <w:proofErr w:type="spellEnd"/>
      <w:r w:rsidRPr="003D12BF">
        <w:t>).</w:t>
      </w:r>
    </w:p>
    <w:p w14:paraId="73F3547F" w14:textId="77777777" w:rsidR="003D12BF" w:rsidRPr="003D12BF" w:rsidRDefault="003D12BF" w:rsidP="003D12BF">
      <w:pPr>
        <w:numPr>
          <w:ilvl w:val="1"/>
          <w:numId w:val="5"/>
        </w:numPr>
      </w:pPr>
      <w:r w:rsidRPr="003D12BF">
        <w:rPr>
          <w:b/>
          <w:bCs/>
        </w:rPr>
        <w:t>Line Charts:</w:t>
      </w:r>
      <w:r w:rsidRPr="003D12BF">
        <w:t xml:space="preserve"> For visualizing trends over time (e.g., </w:t>
      </w:r>
      <w:proofErr w:type="spellStart"/>
      <w:r w:rsidRPr="003D12BF">
        <w:t>TotalOrders</w:t>
      </w:r>
      <w:proofErr w:type="spellEnd"/>
      <w:r w:rsidRPr="003D12BF">
        <w:t xml:space="preserve"> by </w:t>
      </w:r>
      <w:proofErr w:type="spellStart"/>
      <w:r w:rsidRPr="003D12BF">
        <w:t>OrderMonth</w:t>
      </w:r>
      <w:proofErr w:type="spellEnd"/>
      <w:r w:rsidRPr="003D12BF">
        <w:t>).</w:t>
      </w:r>
    </w:p>
    <w:p w14:paraId="58FD86A5" w14:textId="77777777" w:rsidR="003D12BF" w:rsidRPr="003D12BF" w:rsidRDefault="003D12BF" w:rsidP="003D12BF">
      <w:pPr>
        <w:numPr>
          <w:ilvl w:val="1"/>
          <w:numId w:val="5"/>
        </w:numPr>
      </w:pPr>
      <w:r w:rsidRPr="003D12BF">
        <w:rPr>
          <w:b/>
          <w:bCs/>
        </w:rPr>
        <w:t>Pie Charts:</w:t>
      </w:r>
      <w:r w:rsidRPr="003D12BF">
        <w:t xml:space="preserve"> For showing proportions of a whole (e.g., </w:t>
      </w:r>
      <w:proofErr w:type="spellStart"/>
      <w:r w:rsidRPr="003D12BF">
        <w:t>NumberOfCustomers</w:t>
      </w:r>
      <w:proofErr w:type="spellEnd"/>
      <w:r w:rsidRPr="003D12BF">
        <w:t xml:space="preserve"> by </w:t>
      </w:r>
      <w:proofErr w:type="spellStart"/>
      <w:r w:rsidRPr="003D12BF">
        <w:t>ContactTitle</w:t>
      </w:r>
      <w:proofErr w:type="spellEnd"/>
      <w:r w:rsidRPr="003D12BF">
        <w:t>).</w:t>
      </w:r>
    </w:p>
    <w:p w14:paraId="1123412F" w14:textId="77777777" w:rsidR="003D12BF" w:rsidRPr="003D12BF" w:rsidRDefault="003D12BF" w:rsidP="003D12BF">
      <w:pPr>
        <w:numPr>
          <w:ilvl w:val="1"/>
          <w:numId w:val="5"/>
        </w:numPr>
      </w:pPr>
      <w:r w:rsidRPr="003D12BF">
        <w:rPr>
          <w:b/>
          <w:bCs/>
        </w:rPr>
        <w:t>Slicers:</w:t>
      </w:r>
      <w:r w:rsidRPr="003D12BF">
        <w:t xml:space="preserve"> To enable interactive filtering of data within pivot tables and charts.</w:t>
      </w:r>
    </w:p>
    <w:p w14:paraId="1088685E" w14:textId="77777777" w:rsidR="003D12BF" w:rsidRDefault="003D12BF" w:rsidP="003D12BF">
      <w:pPr>
        <w:numPr>
          <w:ilvl w:val="0"/>
          <w:numId w:val="5"/>
        </w:numPr>
      </w:pPr>
      <w:r w:rsidRPr="003D12BF">
        <w:rPr>
          <w:b/>
          <w:bCs/>
        </w:rPr>
        <w:t>Insights Documentation</w:t>
      </w:r>
      <w:r w:rsidRPr="003D12BF">
        <w:t>: Throughout the SQL and Excel EDA process, all significant findings, anomalies, patterns, and initial hypotheses will be meticulously documented. This documentation will serve as a foundational record for the Power BI dashboarding phase and the final report.</w:t>
      </w:r>
    </w:p>
    <w:p w14:paraId="5CF54C9F" w14:textId="77777777" w:rsidR="003D12BF" w:rsidRDefault="003D12BF" w:rsidP="003D12BF">
      <w:pPr>
        <w:ind w:left="720"/>
        <w:rPr>
          <w:b/>
          <w:bCs/>
        </w:rPr>
      </w:pPr>
    </w:p>
    <w:p w14:paraId="34B97505" w14:textId="77777777" w:rsidR="003D12BF" w:rsidRDefault="003D12BF" w:rsidP="003D12BF">
      <w:pPr>
        <w:ind w:left="720"/>
        <w:rPr>
          <w:b/>
          <w:bCs/>
        </w:rPr>
      </w:pPr>
    </w:p>
    <w:p w14:paraId="10124D79" w14:textId="7AF539BF" w:rsidR="003D12BF" w:rsidRDefault="003D12BF" w:rsidP="003D12BF">
      <w:pPr>
        <w:ind w:left="720"/>
        <w:rPr>
          <w:b/>
          <w:bCs/>
        </w:rPr>
      </w:pPr>
      <w:r>
        <w:rPr>
          <w:b/>
          <w:bCs/>
        </w:rPr>
        <w:t xml:space="preserve">EDA _ 1. </w:t>
      </w:r>
      <w:r w:rsidRPr="003D12BF">
        <w:rPr>
          <w:b/>
          <w:bCs/>
        </w:rPr>
        <w:t>1. What is the average number of orders per customer? Are there high value repeat customers?</w:t>
      </w:r>
    </w:p>
    <w:p w14:paraId="74F01B21" w14:textId="77777777" w:rsidR="003D12BF" w:rsidRDefault="003D12BF" w:rsidP="003D12BF">
      <w:pPr>
        <w:ind w:left="720"/>
        <w:rPr>
          <w:b/>
          <w:bCs/>
        </w:rPr>
      </w:pPr>
      <w:r>
        <w:rPr>
          <w:b/>
          <w:bCs/>
        </w:rPr>
        <w:t xml:space="preserve">ANS: </w:t>
      </w:r>
    </w:p>
    <w:p w14:paraId="40225D24" w14:textId="214BA589" w:rsidR="003D12BF" w:rsidRDefault="00D559D8" w:rsidP="003D12BF">
      <w:pPr>
        <w:ind w:left="720"/>
        <w:rPr>
          <w:b/>
          <w:bCs/>
        </w:rPr>
      </w:pPr>
      <w:r>
        <w:rPr>
          <w:noProof/>
        </w:rPr>
        <w:drawing>
          <wp:inline distT="0" distB="0" distL="0" distR="0" wp14:anchorId="6E1A2A5F" wp14:editId="7CD861CA">
            <wp:extent cx="4712693" cy="2706282"/>
            <wp:effectExtent l="0" t="0" r="0" b="0"/>
            <wp:docPr id="1569793951" name="Chart 1">
              <a:extLst xmlns:a="http://schemas.openxmlformats.org/drawingml/2006/main">
                <a:ext uri="{FF2B5EF4-FFF2-40B4-BE49-F238E27FC236}">
                  <a16:creationId xmlns:a16="http://schemas.microsoft.com/office/drawing/2014/main" id="{F68B0438-67C0-238D-2FAF-5830DD5137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6570A434" w14:textId="77777777" w:rsidR="003D12BF" w:rsidRDefault="003D12BF" w:rsidP="003D12BF">
      <w:pPr>
        <w:ind w:left="720"/>
        <w:rPr>
          <w:b/>
          <w:bCs/>
        </w:rPr>
      </w:pPr>
    </w:p>
    <w:p w14:paraId="342ACCA4" w14:textId="43FDE35D" w:rsidR="003D12BF" w:rsidRDefault="003D12BF" w:rsidP="003D12BF">
      <w:pPr>
        <w:ind w:left="720"/>
      </w:pPr>
      <w:r>
        <w:rPr>
          <w:b/>
          <w:bCs/>
        </w:rPr>
        <w:t xml:space="preserve">Conclusion: </w:t>
      </w:r>
      <w:r w:rsidRPr="003D12BF">
        <w:t>The data highlights a clear distinction between high-volume customers and those with high average order values. To maximize profitability, we should prioritize efficient fulfilment for frequent buyers while implementing targeted strategies, such as loyalty programs and personalized offers, to increase the lifetime value of high-spending customers, regardless of their order frequency.</w:t>
      </w:r>
    </w:p>
    <w:p w14:paraId="1BAD026E" w14:textId="6637D294" w:rsidR="003D12BF" w:rsidRPr="003D12BF" w:rsidRDefault="003D12BF" w:rsidP="003D12BF">
      <w:pPr>
        <w:ind w:left="720"/>
        <w:rPr>
          <w:b/>
          <w:bCs/>
        </w:rPr>
      </w:pPr>
      <w:r>
        <w:rPr>
          <w:b/>
          <w:bCs/>
        </w:rPr>
        <w:lastRenderedPageBreak/>
        <w:t xml:space="preserve">EDA – </w:t>
      </w:r>
      <w:r w:rsidR="00DD6B93">
        <w:rPr>
          <w:b/>
          <w:bCs/>
        </w:rPr>
        <w:t>2:</w:t>
      </w:r>
      <w:r w:rsidR="00DD6B93" w:rsidRPr="00DD6B93">
        <w:rPr>
          <w:b/>
          <w:bCs/>
        </w:rPr>
        <w:t xml:space="preserve"> How do customer order patterns vary by city or country?</w:t>
      </w:r>
      <w:r>
        <w:rPr>
          <w:b/>
          <w:bCs/>
        </w:rPr>
        <w:t xml:space="preserve"> </w:t>
      </w:r>
    </w:p>
    <w:p w14:paraId="2D656585" w14:textId="416364CE" w:rsidR="003D12BF" w:rsidRDefault="00DD6B93" w:rsidP="003D12BF">
      <w:pPr>
        <w:ind w:left="720"/>
        <w:rPr>
          <w:b/>
          <w:bCs/>
        </w:rPr>
      </w:pPr>
      <w:r>
        <w:rPr>
          <w:b/>
          <w:bCs/>
        </w:rPr>
        <w:t>ANS:</w:t>
      </w:r>
      <w:r w:rsidRPr="00DD6B93">
        <w:rPr>
          <w:noProof/>
        </w:rPr>
        <w:t xml:space="preserve"> </w:t>
      </w:r>
      <w:r w:rsidR="00D559D8">
        <w:rPr>
          <w:noProof/>
        </w:rPr>
        <w:drawing>
          <wp:inline distT="0" distB="0" distL="0" distR="0" wp14:anchorId="1D1EF7C6" wp14:editId="2839B633">
            <wp:extent cx="5731510" cy="2533650"/>
            <wp:effectExtent l="0" t="0" r="0" b="0"/>
            <wp:docPr id="131209085" name="Chart 1">
              <a:extLst xmlns:a="http://schemas.openxmlformats.org/drawingml/2006/main">
                <a:ext uri="{FF2B5EF4-FFF2-40B4-BE49-F238E27FC236}">
                  <a16:creationId xmlns:a16="http://schemas.microsoft.com/office/drawing/2014/main" id="{861461FB-39E4-200D-F957-65E8176312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AF430D4" w14:textId="213B1916" w:rsidR="003D12BF" w:rsidRDefault="00D559D8" w:rsidP="003D12BF">
      <w:pPr>
        <w:ind w:left="720"/>
      </w:pPr>
      <w:r>
        <w:rPr>
          <w:noProof/>
        </w:rPr>
        <w:drawing>
          <wp:inline distT="0" distB="0" distL="0" distR="0" wp14:anchorId="733E1BA9" wp14:editId="30B804DA">
            <wp:extent cx="5391621" cy="2673549"/>
            <wp:effectExtent l="0" t="0" r="0" b="0"/>
            <wp:docPr id="31868098" name="Chart 1">
              <a:extLst xmlns:a="http://schemas.openxmlformats.org/drawingml/2006/main">
                <a:ext uri="{FF2B5EF4-FFF2-40B4-BE49-F238E27FC236}">
                  <a16:creationId xmlns:a16="http://schemas.microsoft.com/office/drawing/2014/main" id="{42AB4C26-929B-5CDA-F393-17FF1FB8F1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F69E8B9" w14:textId="77777777" w:rsidR="00DD6B93" w:rsidRDefault="00DD6B93" w:rsidP="003D12BF">
      <w:pPr>
        <w:ind w:left="720"/>
      </w:pPr>
    </w:p>
    <w:p w14:paraId="248AB2B2" w14:textId="77777777" w:rsidR="00DD6B93" w:rsidRPr="00DD6B93" w:rsidRDefault="00DD6B93" w:rsidP="00DD6B93">
      <w:pPr>
        <w:ind w:left="720"/>
      </w:pPr>
      <w:proofErr w:type="gramStart"/>
      <w:r>
        <w:t>Conclusion :</w:t>
      </w:r>
      <w:proofErr w:type="gramEnd"/>
      <w:r>
        <w:t xml:space="preserve"> </w:t>
      </w:r>
      <w:r w:rsidRPr="00DD6B93">
        <w:rPr>
          <w:b/>
          <w:bCs/>
        </w:rPr>
        <w:t>High-Value Customers &amp; Markets:</w:t>
      </w:r>
    </w:p>
    <w:p w14:paraId="77F61141" w14:textId="77777777" w:rsidR="00DD6B93" w:rsidRPr="00DD6B93" w:rsidRDefault="00DD6B93" w:rsidP="00DD6B93">
      <w:pPr>
        <w:ind w:left="720"/>
      </w:pPr>
      <w:r w:rsidRPr="00DD6B93">
        <w:t>USA, Germany, and Austria should remain primary focus markets due to high revenue contribution.</w:t>
      </w:r>
    </w:p>
    <w:p w14:paraId="3600EC77" w14:textId="77777777" w:rsidR="00DD6B93" w:rsidRPr="00DD6B93" w:rsidRDefault="00DD6B93" w:rsidP="00DD6B93">
      <w:pPr>
        <w:ind w:left="720"/>
      </w:pPr>
      <w:r w:rsidRPr="00DD6B93">
        <w:t xml:space="preserve">Cities like </w:t>
      </w:r>
      <w:proofErr w:type="spellStart"/>
      <w:r w:rsidRPr="00DD6B93">
        <w:t>Cunewalde</w:t>
      </w:r>
      <w:proofErr w:type="spellEnd"/>
      <w:r w:rsidRPr="00DD6B93">
        <w:t>, Boise, and Graz hold premium customers, ideal for loyalty programs.</w:t>
      </w:r>
    </w:p>
    <w:p w14:paraId="5C7C62D3" w14:textId="77777777" w:rsidR="00DD6B93" w:rsidRPr="00DD6B93" w:rsidRDefault="00DD6B93" w:rsidP="00DD6B93">
      <w:pPr>
        <w:ind w:left="720"/>
      </w:pPr>
      <w:r w:rsidRPr="00DD6B93">
        <w:rPr>
          <w:b/>
          <w:bCs/>
        </w:rPr>
        <w:t>Growth Opportunities:</w:t>
      </w:r>
    </w:p>
    <w:p w14:paraId="2AE83170" w14:textId="77777777" w:rsidR="00DD6B93" w:rsidRPr="00DD6B93" w:rsidRDefault="00DD6B93" w:rsidP="00DD6B93">
      <w:pPr>
        <w:ind w:left="720"/>
      </w:pPr>
      <w:r w:rsidRPr="00DD6B93">
        <w:t>Markets with moderate orders but high average value (Venezuela, UK) are promising for targeted campaigns.</w:t>
      </w:r>
    </w:p>
    <w:p w14:paraId="28BD6809" w14:textId="77777777" w:rsidR="00DD6B93" w:rsidRPr="00DD6B93" w:rsidRDefault="00DD6B93" w:rsidP="00DD6B93">
      <w:pPr>
        <w:ind w:left="720"/>
      </w:pPr>
      <w:r w:rsidRPr="00DD6B93">
        <w:t>Increase promotional efforts in cities with high order counts but lower average spending to improve revenue per order.</w:t>
      </w:r>
    </w:p>
    <w:p w14:paraId="054CECA7" w14:textId="77777777" w:rsidR="00DD6B93" w:rsidRPr="00DD6B93" w:rsidRDefault="00DD6B93" w:rsidP="00DD6B93">
      <w:pPr>
        <w:ind w:left="720"/>
      </w:pPr>
      <w:r w:rsidRPr="00DD6B93">
        <w:rPr>
          <w:b/>
          <w:bCs/>
        </w:rPr>
        <w:t>Segmentation for Marketing:</w:t>
      </w:r>
    </w:p>
    <w:p w14:paraId="731F6BCD" w14:textId="77777777" w:rsidR="00DD6B93" w:rsidRPr="00DD6B93" w:rsidRDefault="00DD6B93" w:rsidP="00DD6B93">
      <w:pPr>
        <w:ind w:left="720"/>
      </w:pPr>
      <w:r w:rsidRPr="00DD6B93">
        <w:lastRenderedPageBreak/>
        <w:t>Segment customers by average order value and total spend for personalized campaigns.</w:t>
      </w:r>
    </w:p>
    <w:p w14:paraId="17778CF7" w14:textId="77777777" w:rsidR="00DD6B93" w:rsidRPr="00DD6B93" w:rsidRDefault="00DD6B93" w:rsidP="00DD6B93">
      <w:pPr>
        <w:ind w:left="720"/>
      </w:pPr>
      <w:r w:rsidRPr="00DD6B93">
        <w:t>Introduce premium product lines in high average-value markets.</w:t>
      </w:r>
    </w:p>
    <w:p w14:paraId="60678C03" w14:textId="77777777" w:rsidR="00DD6B93" w:rsidRPr="00DD6B93" w:rsidRDefault="00DD6B93" w:rsidP="00DD6B93">
      <w:pPr>
        <w:ind w:left="720"/>
      </w:pPr>
      <w:r w:rsidRPr="00DD6B93">
        <w:rPr>
          <w:b/>
          <w:bCs/>
        </w:rPr>
        <w:t>Operational Insights:</w:t>
      </w:r>
    </w:p>
    <w:p w14:paraId="7F733656" w14:textId="77777777" w:rsidR="00DD6B93" w:rsidRPr="00DD6B93" w:rsidRDefault="00DD6B93" w:rsidP="00DD6B93">
      <w:pPr>
        <w:ind w:left="720"/>
      </w:pPr>
      <w:r w:rsidRPr="00DD6B93">
        <w:t>Optimize shipping and stock levels for high-order cities (</w:t>
      </w:r>
      <w:proofErr w:type="spellStart"/>
      <w:r w:rsidRPr="00DD6B93">
        <w:t>Cunewalde</w:t>
      </w:r>
      <w:proofErr w:type="spellEnd"/>
      <w:r w:rsidRPr="00DD6B93">
        <w:t>, Boise).</w:t>
      </w:r>
    </w:p>
    <w:p w14:paraId="01F88CFD" w14:textId="77777777" w:rsidR="00DD6B93" w:rsidRDefault="00DD6B93" w:rsidP="00DD6B93">
      <w:pPr>
        <w:ind w:left="720"/>
      </w:pPr>
      <w:r w:rsidRPr="00DD6B93">
        <w:t>Focus on customer retention in high-spending regions.</w:t>
      </w:r>
    </w:p>
    <w:p w14:paraId="46F467A6" w14:textId="77777777" w:rsidR="00DD6B93" w:rsidRDefault="00DD6B93" w:rsidP="00DD6B93">
      <w:pPr>
        <w:ind w:left="720"/>
      </w:pPr>
    </w:p>
    <w:p w14:paraId="12669631" w14:textId="5F01988D" w:rsidR="00DD6B93" w:rsidRPr="00DD6B93" w:rsidRDefault="00DD6B93" w:rsidP="00DD6B93">
      <w:pPr>
        <w:ind w:left="720"/>
      </w:pPr>
      <w:r>
        <w:t>EDA -3:</w:t>
      </w:r>
      <w:r w:rsidRPr="00DD6B93">
        <w:t xml:space="preserve"> </w:t>
      </w:r>
      <w:r w:rsidRPr="00DD6B93">
        <w:rPr>
          <w:b/>
          <w:bCs/>
        </w:rPr>
        <w:t>Can we cluster customers based on total spend, order count, and preferred categories?</w:t>
      </w:r>
    </w:p>
    <w:p w14:paraId="10F62E12" w14:textId="399108DA" w:rsidR="00DD6B93" w:rsidRDefault="00DD6B93" w:rsidP="00DD6B93">
      <w:pPr>
        <w:rPr>
          <w:noProof/>
        </w:rPr>
      </w:pPr>
      <w:r>
        <w:t xml:space="preserve">            ANS:</w:t>
      </w:r>
      <w:r w:rsidRPr="00DD6B93">
        <w:rPr>
          <w:noProof/>
        </w:rPr>
        <w:t xml:space="preserve"> </w:t>
      </w:r>
    </w:p>
    <w:p w14:paraId="51685C14" w14:textId="070B27F9" w:rsidR="00DD6B93" w:rsidRDefault="00D559D8" w:rsidP="003D12BF">
      <w:pPr>
        <w:ind w:left="720"/>
      </w:pPr>
      <w:r>
        <w:rPr>
          <w:noProof/>
        </w:rPr>
        <w:drawing>
          <wp:inline distT="0" distB="0" distL="0" distR="0" wp14:anchorId="52092545" wp14:editId="43E7A02C">
            <wp:extent cx="5158290" cy="2774753"/>
            <wp:effectExtent l="0" t="0" r="4445" b="6985"/>
            <wp:docPr id="1405502222" name="Chart 1">
              <a:extLst xmlns:a="http://schemas.openxmlformats.org/drawingml/2006/main">
                <a:ext uri="{FF2B5EF4-FFF2-40B4-BE49-F238E27FC236}">
                  <a16:creationId xmlns:a16="http://schemas.microsoft.com/office/drawing/2014/main" id="{D0F80814-EA89-5E98-F74E-A73E6EA4B0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9D1EC5E" w14:textId="77777777" w:rsidR="00DD6B93" w:rsidRDefault="00DD6B93" w:rsidP="003D12BF">
      <w:pPr>
        <w:ind w:left="720"/>
      </w:pPr>
    </w:p>
    <w:p w14:paraId="7702C2E9" w14:textId="3FC43613" w:rsidR="00DD6B93" w:rsidRDefault="00D559D8" w:rsidP="003D12BF">
      <w:pPr>
        <w:ind w:left="720"/>
      </w:pPr>
      <w:r>
        <w:rPr>
          <w:noProof/>
        </w:rPr>
        <w:drawing>
          <wp:inline distT="0" distB="0" distL="0" distR="0" wp14:anchorId="655B3AB6" wp14:editId="0B5024AB">
            <wp:extent cx="5731510" cy="2005330"/>
            <wp:effectExtent l="0" t="0" r="2540" b="0"/>
            <wp:docPr id="363083509" name="Chart 1">
              <a:extLst xmlns:a="http://schemas.openxmlformats.org/drawingml/2006/main">
                <a:ext uri="{FF2B5EF4-FFF2-40B4-BE49-F238E27FC236}">
                  <a16:creationId xmlns:a16="http://schemas.microsoft.com/office/drawing/2014/main" id="{C15A4728-90F8-1DB6-68EC-58174D128E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45D3BE0" w14:textId="77777777" w:rsidR="00DD6B93" w:rsidRDefault="00DD6B93" w:rsidP="003D12BF">
      <w:pPr>
        <w:ind w:left="720"/>
      </w:pPr>
    </w:p>
    <w:p w14:paraId="6907C55A" w14:textId="77777777" w:rsidR="00DD6B93" w:rsidRPr="00DD6B93" w:rsidRDefault="00DD6B93" w:rsidP="00DD6B93">
      <w:pPr>
        <w:ind w:left="720"/>
      </w:pPr>
      <w:proofErr w:type="gramStart"/>
      <w:r>
        <w:rPr>
          <w:b/>
          <w:bCs/>
        </w:rPr>
        <w:t>Conclusion :</w:t>
      </w:r>
      <w:proofErr w:type="gramEnd"/>
      <w:r>
        <w:rPr>
          <w:b/>
          <w:bCs/>
        </w:rPr>
        <w:t xml:space="preserve"> </w:t>
      </w:r>
      <w:r w:rsidRPr="00DD6B93">
        <w:t>Retention &amp; Loyalty Programs:</w:t>
      </w:r>
    </w:p>
    <w:p w14:paraId="6A2AEEBA" w14:textId="77777777" w:rsidR="00DD6B93" w:rsidRPr="00DD6B93" w:rsidRDefault="00DD6B93" w:rsidP="00DD6B93">
      <w:pPr>
        <w:ind w:left="720"/>
      </w:pPr>
      <w:r w:rsidRPr="00DD6B93">
        <w:t>High-spending customers (top 10) should be targeted with loyalty discounts, exclusive offers, and personalized promotions, especially for their preferred categories.</w:t>
      </w:r>
    </w:p>
    <w:p w14:paraId="0C153808" w14:textId="77777777" w:rsidR="00DD6B93" w:rsidRPr="00DD6B93" w:rsidRDefault="00DD6B93" w:rsidP="00DD6B93">
      <w:pPr>
        <w:ind w:left="720"/>
      </w:pPr>
      <w:r w:rsidRPr="00DD6B93">
        <w:lastRenderedPageBreak/>
        <w:t>Category Promotion Strategy:</w:t>
      </w:r>
    </w:p>
    <w:p w14:paraId="251331F2" w14:textId="77777777" w:rsidR="00DD6B93" w:rsidRPr="00DD6B93" w:rsidRDefault="00DD6B93" w:rsidP="00DD6B93">
      <w:pPr>
        <w:ind w:left="720"/>
      </w:pPr>
      <w:r w:rsidRPr="00DD6B93">
        <w:t>Focus marketing efforts on Beverages and Meat/Poultry, as these are high-demand and revenue-generating categories.</w:t>
      </w:r>
    </w:p>
    <w:p w14:paraId="6C6FDCBD" w14:textId="77777777" w:rsidR="00DD6B93" w:rsidRPr="00DD6B93" w:rsidRDefault="00DD6B93" w:rsidP="00DD6B93">
      <w:pPr>
        <w:ind w:left="720"/>
      </w:pPr>
      <w:r w:rsidRPr="00DD6B93">
        <w:t>For low-demand categories (Produce, Grains/Cereals), consider bundling with popular items to increase adoption.</w:t>
      </w:r>
    </w:p>
    <w:p w14:paraId="1A7437F9" w14:textId="77777777" w:rsidR="00DD6B93" w:rsidRPr="00DD6B93" w:rsidRDefault="00DD6B93" w:rsidP="00DD6B93">
      <w:pPr>
        <w:ind w:left="720"/>
      </w:pPr>
      <w:r w:rsidRPr="00DD6B93">
        <w:t>Cross-Selling &amp; Upselling Opportunities:</w:t>
      </w:r>
    </w:p>
    <w:p w14:paraId="779401ED" w14:textId="77777777" w:rsidR="00DD6B93" w:rsidRPr="00DD6B93" w:rsidRDefault="00DD6B93" w:rsidP="00DD6B93">
      <w:pPr>
        <w:ind w:left="720"/>
      </w:pPr>
      <w:r w:rsidRPr="00DD6B93">
        <w:t>Recommend complementary products (e.g., pairing Dairy Products with Beverages) to increase average order value.</w:t>
      </w:r>
    </w:p>
    <w:p w14:paraId="041AE354" w14:textId="77777777" w:rsidR="00DD6B93" w:rsidRPr="00DD6B93" w:rsidRDefault="00DD6B93" w:rsidP="00DD6B93">
      <w:pPr>
        <w:ind w:left="720"/>
      </w:pPr>
      <w:r w:rsidRPr="00DD6B93">
        <w:t>Customer Lifecycle Management:</w:t>
      </w:r>
    </w:p>
    <w:p w14:paraId="168FB54E" w14:textId="77777777" w:rsidR="00DD6B93" w:rsidRDefault="00DD6B93" w:rsidP="00DD6B93">
      <w:pPr>
        <w:ind w:left="720"/>
      </w:pPr>
      <w:r w:rsidRPr="00DD6B93">
        <w:t>Monitor low-value customers for potential growth through targeted marketing or volume discounts.</w:t>
      </w:r>
    </w:p>
    <w:p w14:paraId="3708E467" w14:textId="77777777" w:rsidR="00DD6B93" w:rsidRDefault="00DD6B93" w:rsidP="00DD6B93">
      <w:pPr>
        <w:ind w:left="720"/>
      </w:pPr>
    </w:p>
    <w:p w14:paraId="0AC7100A" w14:textId="7EF32065" w:rsidR="00DD6B93" w:rsidRDefault="00DD6B93" w:rsidP="00DD6B93">
      <w:pPr>
        <w:ind w:left="720"/>
        <w:rPr>
          <w:b/>
          <w:bCs/>
        </w:rPr>
      </w:pPr>
      <w:r>
        <w:rPr>
          <w:b/>
          <w:bCs/>
        </w:rPr>
        <w:t xml:space="preserve">EDA-4: </w:t>
      </w:r>
      <w:r w:rsidRPr="00DD6B93">
        <w:rPr>
          <w:b/>
          <w:bCs/>
        </w:rPr>
        <w:t>Which product categories or products contribute most to order revenue?</w:t>
      </w:r>
    </w:p>
    <w:p w14:paraId="2D50CFEF" w14:textId="48E92AA3" w:rsidR="00DD6B93" w:rsidRDefault="00D559D8" w:rsidP="00DD6B93">
      <w:pPr>
        <w:ind w:left="720"/>
        <w:rPr>
          <w:b/>
          <w:bCs/>
        </w:rPr>
      </w:pPr>
      <w:r>
        <w:rPr>
          <w:noProof/>
        </w:rPr>
        <w:drawing>
          <wp:inline distT="0" distB="0" distL="0" distR="0" wp14:anchorId="34158A1B" wp14:editId="395FEDF3">
            <wp:extent cx="4677573" cy="2731470"/>
            <wp:effectExtent l="0" t="0" r="8890" b="0"/>
            <wp:docPr id="1085544817" name="Chart 1">
              <a:extLst xmlns:a="http://schemas.openxmlformats.org/drawingml/2006/main">
                <a:ext uri="{FF2B5EF4-FFF2-40B4-BE49-F238E27FC236}">
                  <a16:creationId xmlns:a16="http://schemas.microsoft.com/office/drawing/2014/main" id="{B005E47B-1FFE-BB7E-8CE7-F985F15B57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FE534FA" w14:textId="65899607" w:rsidR="00DD6B93" w:rsidRDefault="00D559D8" w:rsidP="00DD6B93">
      <w:pPr>
        <w:ind w:left="720"/>
        <w:rPr>
          <w:b/>
          <w:bCs/>
        </w:rPr>
      </w:pPr>
      <w:r>
        <w:rPr>
          <w:noProof/>
        </w:rPr>
        <w:drawing>
          <wp:inline distT="0" distB="0" distL="0" distR="0" wp14:anchorId="6A4D6966" wp14:editId="36D16C9C">
            <wp:extent cx="4647579" cy="2687575"/>
            <wp:effectExtent l="0" t="0" r="635" b="0"/>
            <wp:docPr id="1509008128" name="Chart 1">
              <a:extLst xmlns:a="http://schemas.openxmlformats.org/drawingml/2006/main">
                <a:ext uri="{FF2B5EF4-FFF2-40B4-BE49-F238E27FC236}">
                  <a16:creationId xmlns:a16="http://schemas.microsoft.com/office/drawing/2014/main" id="{5A0046DB-BFC2-04A2-A3F8-A1F1647CB7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3D308EA" w14:textId="77777777" w:rsidR="00DD6B93" w:rsidRDefault="00DD6B93" w:rsidP="00DD6B93">
      <w:pPr>
        <w:ind w:left="720"/>
        <w:rPr>
          <w:b/>
          <w:bCs/>
        </w:rPr>
      </w:pPr>
    </w:p>
    <w:p w14:paraId="44647457" w14:textId="410DD058" w:rsidR="00DD6B93" w:rsidRPr="00DD6B93" w:rsidRDefault="00DD6B93" w:rsidP="00DD6B93">
      <w:pPr>
        <w:ind w:left="720"/>
        <w:rPr>
          <w:b/>
          <w:bCs/>
        </w:rPr>
      </w:pPr>
      <w:r>
        <w:rPr>
          <w:b/>
          <w:bCs/>
        </w:rPr>
        <w:t xml:space="preserve">Conclusion: </w:t>
      </w:r>
      <w:r w:rsidRPr="00DD6B93">
        <w:rPr>
          <w:b/>
          <w:bCs/>
        </w:rPr>
        <w:t>Beverage</w:t>
      </w:r>
      <w:r>
        <w:rPr>
          <w:b/>
          <w:bCs/>
        </w:rPr>
        <w:t xml:space="preserve"> </w:t>
      </w:r>
      <w:r w:rsidRPr="00DD6B93">
        <w:rPr>
          <w:b/>
          <w:bCs/>
        </w:rPr>
        <w:t xml:space="preserve">category </w:t>
      </w:r>
      <w:proofErr w:type="gramStart"/>
      <w:r w:rsidRPr="00DD6B93">
        <w:rPr>
          <w:b/>
          <w:bCs/>
        </w:rPr>
        <w:t>contribute</w:t>
      </w:r>
      <w:proofErr w:type="gramEnd"/>
      <w:r w:rsidRPr="00DD6B93">
        <w:rPr>
          <w:b/>
          <w:bCs/>
        </w:rPr>
        <w:t xml:space="preserve"> the most in order revenue which is approximately 21% of total </w:t>
      </w:r>
      <w:proofErr w:type="spellStart"/>
      <w:r w:rsidRPr="00DD6B93">
        <w:rPr>
          <w:b/>
          <w:bCs/>
        </w:rPr>
        <w:t>order_revenue</w:t>
      </w:r>
      <w:proofErr w:type="spellEnd"/>
      <w:r w:rsidRPr="00DD6B93">
        <w:rPr>
          <w:b/>
          <w:bCs/>
        </w:rPr>
        <w:t>,</w:t>
      </w:r>
    </w:p>
    <w:p w14:paraId="5CD00532" w14:textId="49482159" w:rsidR="00DD6B93" w:rsidRDefault="00DD6B93" w:rsidP="00DD6B93">
      <w:pPr>
        <w:ind w:left="720"/>
        <w:rPr>
          <w:b/>
          <w:bCs/>
        </w:rPr>
      </w:pPr>
      <w:r w:rsidRPr="00DD6B93">
        <w:rPr>
          <w:b/>
          <w:bCs/>
        </w:rPr>
        <w:t xml:space="preserve">Cote de </w:t>
      </w:r>
      <w:proofErr w:type="spellStart"/>
      <w:r w:rsidRPr="00DD6B93">
        <w:rPr>
          <w:b/>
          <w:bCs/>
        </w:rPr>
        <w:t>Blaye</w:t>
      </w:r>
      <w:proofErr w:type="spellEnd"/>
      <w:r w:rsidRPr="00DD6B93">
        <w:rPr>
          <w:b/>
          <w:bCs/>
        </w:rPr>
        <w:t xml:space="preserve"> is the product which contributed most in order revenue</w:t>
      </w:r>
      <w:r>
        <w:rPr>
          <w:b/>
          <w:bCs/>
        </w:rPr>
        <w:t>.</w:t>
      </w:r>
    </w:p>
    <w:p w14:paraId="42AF8063" w14:textId="77777777" w:rsidR="00DD6B93" w:rsidRDefault="00DD6B93" w:rsidP="00DD6B93">
      <w:pPr>
        <w:ind w:left="720"/>
        <w:rPr>
          <w:b/>
          <w:bCs/>
        </w:rPr>
      </w:pPr>
    </w:p>
    <w:p w14:paraId="7AC2630F" w14:textId="2E2E3594" w:rsidR="00DD6B93" w:rsidRDefault="00DD6B93" w:rsidP="00DD6B93">
      <w:pPr>
        <w:ind w:left="720"/>
        <w:rPr>
          <w:b/>
          <w:bCs/>
        </w:rPr>
      </w:pPr>
      <w:r>
        <w:rPr>
          <w:b/>
          <w:bCs/>
        </w:rPr>
        <w:t xml:space="preserve">EDA-5: </w:t>
      </w:r>
      <w:r w:rsidR="00E85EE4" w:rsidRPr="00E85EE4">
        <w:rPr>
          <w:b/>
          <w:bCs/>
        </w:rPr>
        <w:t>Are there any correlations between orders and customer location or product category?</w:t>
      </w:r>
    </w:p>
    <w:p w14:paraId="10764058" w14:textId="77777777" w:rsidR="00E85EE4" w:rsidRDefault="00E85EE4" w:rsidP="00DD6B93">
      <w:pPr>
        <w:ind w:left="720"/>
        <w:rPr>
          <w:b/>
          <w:bCs/>
        </w:rPr>
      </w:pPr>
    </w:p>
    <w:p w14:paraId="445B4914" w14:textId="00489B4B" w:rsidR="00E85EE4" w:rsidRDefault="00D559D8" w:rsidP="00DD6B93">
      <w:pPr>
        <w:ind w:left="720"/>
        <w:rPr>
          <w:b/>
          <w:bCs/>
        </w:rPr>
      </w:pPr>
      <w:r>
        <w:rPr>
          <w:noProof/>
        </w:rPr>
        <w:drawing>
          <wp:inline distT="0" distB="0" distL="0" distR="0" wp14:anchorId="7C7A2EEF" wp14:editId="76678AD9">
            <wp:extent cx="4832427" cy="2630677"/>
            <wp:effectExtent l="0" t="0" r="6350" b="0"/>
            <wp:docPr id="701214974" name="Chart 1">
              <a:extLst xmlns:a="http://schemas.openxmlformats.org/drawingml/2006/main">
                <a:ext uri="{FF2B5EF4-FFF2-40B4-BE49-F238E27FC236}">
                  <a16:creationId xmlns:a16="http://schemas.microsoft.com/office/drawing/2014/main" id="{44C532DC-DE78-C387-6E15-263BC67D81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C9888F8" w14:textId="77777777" w:rsidR="00E85EE4" w:rsidRDefault="00E85EE4" w:rsidP="00DD6B93">
      <w:pPr>
        <w:ind w:left="720"/>
        <w:rPr>
          <w:b/>
          <w:bCs/>
        </w:rPr>
      </w:pPr>
    </w:p>
    <w:p w14:paraId="7F23F693" w14:textId="151698A8" w:rsidR="00E85EE4" w:rsidRDefault="00D559D8" w:rsidP="00DD6B93">
      <w:pPr>
        <w:ind w:left="720"/>
        <w:rPr>
          <w:b/>
          <w:bCs/>
        </w:rPr>
      </w:pPr>
      <w:r>
        <w:rPr>
          <w:noProof/>
        </w:rPr>
        <w:drawing>
          <wp:inline distT="0" distB="0" distL="0" distR="0" wp14:anchorId="1EEB31D6" wp14:editId="3FE39930">
            <wp:extent cx="4832427" cy="2630675"/>
            <wp:effectExtent l="0" t="0" r="6350" b="0"/>
            <wp:docPr id="1142603536" name="Chart 1">
              <a:extLst xmlns:a="http://schemas.openxmlformats.org/drawingml/2006/main">
                <a:ext uri="{FF2B5EF4-FFF2-40B4-BE49-F238E27FC236}">
                  <a16:creationId xmlns:a16="http://schemas.microsoft.com/office/drawing/2014/main" id="{3304E62D-0EC6-C3ED-6A0D-C29E5018B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CEAE98" w14:textId="77777777" w:rsidR="00E85EE4" w:rsidRDefault="00E85EE4" w:rsidP="00DD6B93">
      <w:pPr>
        <w:ind w:left="720"/>
        <w:rPr>
          <w:b/>
          <w:bCs/>
        </w:rPr>
      </w:pPr>
    </w:p>
    <w:p w14:paraId="6C96B59D" w14:textId="66465C51" w:rsidR="00E85EE4" w:rsidRDefault="00E85EE4" w:rsidP="00E85EE4">
      <w:pPr>
        <w:ind w:left="720"/>
      </w:pPr>
      <w:r>
        <w:rPr>
          <w:b/>
          <w:bCs/>
        </w:rPr>
        <w:t xml:space="preserve">Conclusion: </w:t>
      </w:r>
      <w:r w:rsidRPr="00E85EE4">
        <w:t xml:space="preserve">The USA and Germany dominate total orders, indicating strong market demand. At the city level, Rio de Janeiro, London, and São Paulo lead, showing concentrated sales </w:t>
      </w:r>
      <w:r w:rsidRPr="00E85EE4">
        <w:lastRenderedPageBreak/>
        <w:t>hubs. Other countries show moderate but diverse order distribution, suggesting potential growth opportunities in underrepresented regions.</w:t>
      </w:r>
    </w:p>
    <w:p w14:paraId="0D479758" w14:textId="77777777" w:rsidR="00E85EE4" w:rsidRDefault="00E85EE4" w:rsidP="00E85EE4">
      <w:pPr>
        <w:ind w:left="720"/>
        <w:rPr>
          <w:b/>
          <w:bCs/>
        </w:rPr>
      </w:pPr>
    </w:p>
    <w:p w14:paraId="39FF4312" w14:textId="7B82719B" w:rsidR="00E85EE4" w:rsidRDefault="00E85EE4" w:rsidP="00E85EE4">
      <w:pPr>
        <w:ind w:left="720"/>
        <w:rPr>
          <w:b/>
          <w:bCs/>
        </w:rPr>
      </w:pPr>
      <w:r>
        <w:rPr>
          <w:b/>
          <w:bCs/>
        </w:rPr>
        <w:t xml:space="preserve">EDA-6: </w:t>
      </w:r>
      <w:r w:rsidRPr="00E85EE4">
        <w:rPr>
          <w:b/>
          <w:bCs/>
        </w:rPr>
        <w:t>How frequently do different customer segments place orders?</w:t>
      </w:r>
    </w:p>
    <w:p w14:paraId="6F8369E7" w14:textId="7CAD789F" w:rsidR="00E85EE4" w:rsidRDefault="00D559D8" w:rsidP="00E85EE4">
      <w:pPr>
        <w:ind w:left="720"/>
        <w:rPr>
          <w:b/>
          <w:bCs/>
        </w:rPr>
      </w:pPr>
      <w:r>
        <w:rPr>
          <w:noProof/>
        </w:rPr>
        <w:drawing>
          <wp:inline distT="0" distB="0" distL="0" distR="0" wp14:anchorId="25F961A0" wp14:editId="0A622167">
            <wp:extent cx="5731510" cy="2640965"/>
            <wp:effectExtent l="0" t="0" r="2540" b="6985"/>
            <wp:docPr id="1763463478" name="Chart 1">
              <a:extLst xmlns:a="http://schemas.openxmlformats.org/drawingml/2006/main">
                <a:ext uri="{FF2B5EF4-FFF2-40B4-BE49-F238E27FC236}">
                  <a16:creationId xmlns:a16="http://schemas.microsoft.com/office/drawing/2014/main" id="{59F1A381-8118-1076-403C-FCD1D73FCC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6EF608D" w14:textId="21EEDECC" w:rsidR="00E85EE4" w:rsidRDefault="00D559D8" w:rsidP="00E85EE4">
      <w:pPr>
        <w:ind w:left="720"/>
        <w:rPr>
          <w:b/>
          <w:bCs/>
        </w:rPr>
      </w:pPr>
      <w:r>
        <w:rPr>
          <w:noProof/>
        </w:rPr>
        <w:drawing>
          <wp:inline distT="0" distB="0" distL="0" distR="0" wp14:anchorId="63E5FF97" wp14:editId="098B28A3">
            <wp:extent cx="4640177" cy="4905101"/>
            <wp:effectExtent l="0" t="0" r="8255" b="0"/>
            <wp:docPr id="562840793" name="Chart 1">
              <a:extLst xmlns:a="http://schemas.openxmlformats.org/drawingml/2006/main">
                <a:ext uri="{FF2B5EF4-FFF2-40B4-BE49-F238E27FC236}">
                  <a16:creationId xmlns:a16="http://schemas.microsoft.com/office/drawing/2014/main" id="{87D99D82-2D78-C31A-9E36-B40B272D2E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162C662" w14:textId="77777777" w:rsidR="00E85EE4" w:rsidRDefault="00E85EE4" w:rsidP="00E85EE4">
      <w:pPr>
        <w:ind w:left="720"/>
        <w:rPr>
          <w:b/>
          <w:bCs/>
        </w:rPr>
      </w:pPr>
    </w:p>
    <w:p w14:paraId="4E4F5C50" w14:textId="150183C2" w:rsidR="00E85EE4" w:rsidRPr="00E85EE4" w:rsidRDefault="00E85EE4" w:rsidP="00E85EE4">
      <w:pPr>
        <w:ind w:left="720"/>
      </w:pPr>
      <w:r>
        <w:rPr>
          <w:b/>
          <w:bCs/>
        </w:rPr>
        <w:t xml:space="preserve">Conclusion: </w:t>
      </w:r>
      <w:r w:rsidRPr="00E85EE4">
        <w:rPr>
          <w:b/>
          <w:bCs/>
        </w:rPr>
        <w:t>Shipping Preference</w:t>
      </w:r>
      <w:r w:rsidRPr="00E85EE4">
        <w:t>: Customers prefer Ship Via 2, making it the most critical shipping channel to maintain or optimize.</w:t>
      </w:r>
    </w:p>
    <w:p w14:paraId="55953E2E" w14:textId="77777777" w:rsidR="00E85EE4" w:rsidRPr="00E85EE4" w:rsidRDefault="00E85EE4" w:rsidP="00E85EE4">
      <w:pPr>
        <w:ind w:left="720"/>
      </w:pPr>
      <w:r w:rsidRPr="00E85EE4">
        <w:t>Seasonal Demand: The business experiences a demand spike in May, suggesting an opportunity to plan marketing campaigns, stock availability, and staffing around this period.</w:t>
      </w:r>
    </w:p>
    <w:p w14:paraId="597F51BC" w14:textId="77777777" w:rsidR="00E85EE4" w:rsidRPr="00E85EE4" w:rsidRDefault="00E85EE4" w:rsidP="00E85EE4">
      <w:pPr>
        <w:ind w:left="720"/>
      </w:pPr>
      <w:r w:rsidRPr="00E85EE4">
        <w:t>Customer Retention Opportunity: The low average orders per customer highlight a need for loyalty programs or follow-up marketing to encourage repeat purchases.</w:t>
      </w:r>
    </w:p>
    <w:p w14:paraId="046F9023" w14:textId="77777777" w:rsidR="00E85EE4" w:rsidRDefault="00E85EE4" w:rsidP="00E85EE4">
      <w:pPr>
        <w:ind w:left="720"/>
      </w:pPr>
      <w:r w:rsidRPr="00E85EE4">
        <w:t>Post-May Decline Action: The significant drop after May requires investigation (e.g., seasonality, supply chain issues, or lack of promotions).</w:t>
      </w:r>
    </w:p>
    <w:p w14:paraId="08E12785" w14:textId="77777777" w:rsidR="00E85EE4" w:rsidRDefault="00E85EE4" w:rsidP="00E85EE4">
      <w:pPr>
        <w:ind w:left="720"/>
      </w:pPr>
    </w:p>
    <w:p w14:paraId="182568F1" w14:textId="59A02C7D" w:rsidR="00E85EE4" w:rsidRDefault="00E85EE4" w:rsidP="00E85EE4">
      <w:pPr>
        <w:ind w:left="720"/>
        <w:rPr>
          <w:b/>
          <w:bCs/>
        </w:rPr>
      </w:pPr>
      <w:r>
        <w:rPr>
          <w:b/>
          <w:bCs/>
        </w:rPr>
        <w:t xml:space="preserve">EDA-7: </w:t>
      </w:r>
      <w:r w:rsidRPr="00E85EE4">
        <w:rPr>
          <w:b/>
          <w:bCs/>
        </w:rPr>
        <w:t>What is the geographic and title-wise distribution of employees?</w:t>
      </w:r>
    </w:p>
    <w:p w14:paraId="1A8FC30B" w14:textId="00F96160" w:rsidR="00E85EE4" w:rsidRDefault="00D559D8" w:rsidP="00E85EE4">
      <w:pPr>
        <w:ind w:left="720"/>
        <w:rPr>
          <w:b/>
          <w:bCs/>
        </w:rPr>
      </w:pPr>
      <w:r>
        <w:rPr>
          <w:noProof/>
        </w:rPr>
        <w:drawing>
          <wp:inline distT="0" distB="0" distL="0" distR="0" wp14:anchorId="7A1947A9" wp14:editId="36DF098B">
            <wp:extent cx="4557157" cy="3847940"/>
            <wp:effectExtent l="0" t="0" r="0" b="635"/>
            <wp:docPr id="622129363" name="Chart 1">
              <a:extLst xmlns:a="http://schemas.openxmlformats.org/drawingml/2006/main">
                <a:ext uri="{FF2B5EF4-FFF2-40B4-BE49-F238E27FC236}">
                  <a16:creationId xmlns:a16="http://schemas.microsoft.com/office/drawing/2014/main" id="{76FFD05E-E62E-4DE5-C573-2957BE3C9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146473A" w14:textId="77777777" w:rsidR="00E85EE4" w:rsidRDefault="00E85EE4" w:rsidP="00E85EE4">
      <w:pPr>
        <w:ind w:left="720"/>
        <w:rPr>
          <w:b/>
          <w:bCs/>
        </w:rPr>
      </w:pPr>
    </w:p>
    <w:p w14:paraId="2C004050" w14:textId="77777777" w:rsidR="00E85EE4" w:rsidRPr="00E85EE4" w:rsidRDefault="00E85EE4" w:rsidP="00E85EE4">
      <w:pPr>
        <w:ind w:left="720"/>
      </w:pPr>
      <w:r>
        <w:rPr>
          <w:b/>
          <w:bCs/>
        </w:rPr>
        <w:t xml:space="preserve">Conclusion: </w:t>
      </w:r>
      <w:r w:rsidRPr="00E85EE4">
        <w:t>London as a Sales Hub: The UK (London) focuses heavily on sales representatives, implying it may be a major revenue-generating or customer-facing market.</w:t>
      </w:r>
    </w:p>
    <w:p w14:paraId="20B001ED" w14:textId="414E6124" w:rsidR="00E85EE4" w:rsidRPr="00E85EE4" w:rsidRDefault="00E85EE4" w:rsidP="00E85EE4">
      <w:pPr>
        <w:ind w:left="720"/>
      </w:pPr>
      <w:r w:rsidRPr="00E85EE4">
        <w:t>USA as the Strategic and Operational Centre: The USA shows diversity in roles (sales + management), indicating it may be the central office for strategy and coordination.</w:t>
      </w:r>
    </w:p>
    <w:p w14:paraId="1B4691CE" w14:textId="6F62BA53" w:rsidR="00E85EE4" w:rsidRPr="00E85EE4" w:rsidRDefault="00E85EE4" w:rsidP="00E85EE4">
      <w:pPr>
        <w:ind w:left="720"/>
      </w:pPr>
      <w:r w:rsidRPr="00E85EE4">
        <w:t>Overall, Sales-Oriented Organization: Across both countries, most roles are sales-related, reflecting the company’s strong emphasis on market expansion and revenue generation.</w:t>
      </w:r>
    </w:p>
    <w:p w14:paraId="7B1B56BC" w14:textId="7D5441DB" w:rsidR="00E85EE4" w:rsidRDefault="00E85EE4" w:rsidP="00E85EE4">
      <w:pPr>
        <w:ind w:left="720"/>
        <w:rPr>
          <w:b/>
          <w:bCs/>
        </w:rPr>
      </w:pPr>
    </w:p>
    <w:p w14:paraId="556FAA04" w14:textId="28E146F1" w:rsidR="00E85EE4" w:rsidRDefault="00E85EE4" w:rsidP="00E85EE4">
      <w:pPr>
        <w:ind w:left="720"/>
        <w:rPr>
          <w:b/>
          <w:bCs/>
        </w:rPr>
      </w:pPr>
      <w:r>
        <w:rPr>
          <w:b/>
          <w:bCs/>
        </w:rPr>
        <w:t xml:space="preserve">EDA-8: </w:t>
      </w:r>
      <w:r w:rsidRPr="00E85EE4">
        <w:rPr>
          <w:b/>
          <w:bCs/>
        </w:rPr>
        <w:t>What trends can we observe in hire dates across employee titles?</w:t>
      </w:r>
    </w:p>
    <w:p w14:paraId="61B93A8B" w14:textId="77777777" w:rsidR="00E85EE4" w:rsidRDefault="00E85EE4" w:rsidP="00E85EE4">
      <w:pPr>
        <w:ind w:left="720"/>
        <w:rPr>
          <w:b/>
          <w:bCs/>
        </w:rPr>
      </w:pPr>
    </w:p>
    <w:p w14:paraId="3B699B5D" w14:textId="2FC8533A" w:rsidR="00E85EE4" w:rsidRDefault="00704426" w:rsidP="00E85EE4">
      <w:pPr>
        <w:ind w:left="720"/>
        <w:rPr>
          <w:b/>
          <w:bCs/>
        </w:rPr>
      </w:pPr>
      <w:r>
        <w:rPr>
          <w:noProof/>
        </w:rPr>
        <w:drawing>
          <wp:inline distT="0" distB="0" distL="0" distR="0" wp14:anchorId="332DAB8B" wp14:editId="7A1AB44E">
            <wp:extent cx="5695521" cy="2684737"/>
            <wp:effectExtent l="0" t="0" r="635" b="1905"/>
            <wp:docPr id="204801798" name="Chart 1">
              <a:extLst xmlns:a="http://schemas.openxmlformats.org/drawingml/2006/main">
                <a:ext uri="{FF2B5EF4-FFF2-40B4-BE49-F238E27FC236}">
                  <a16:creationId xmlns:a16="http://schemas.microsoft.com/office/drawing/2014/main" id="{44F9A9C1-1A74-9A84-1939-65EE679129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9449494" w14:textId="77777777" w:rsidR="00E85EE4" w:rsidRDefault="00E85EE4" w:rsidP="00E85EE4">
      <w:pPr>
        <w:ind w:left="720"/>
        <w:rPr>
          <w:b/>
          <w:bCs/>
        </w:rPr>
      </w:pPr>
    </w:p>
    <w:p w14:paraId="17F27F4B" w14:textId="77777777" w:rsidR="00E85EE4" w:rsidRPr="00E85EE4" w:rsidRDefault="00E85EE4" w:rsidP="00E85EE4">
      <w:pPr>
        <w:ind w:left="720"/>
      </w:pPr>
      <w:r>
        <w:rPr>
          <w:b/>
          <w:bCs/>
        </w:rPr>
        <w:t xml:space="preserve">Conclusion: </w:t>
      </w:r>
      <w:r w:rsidRPr="00E85EE4">
        <w:t>Focus on Sales Expansion: The company seems to have been expanding its sales force significantly between 1992 and 1994, possibly due to market expansion or a new product launch.</w:t>
      </w:r>
    </w:p>
    <w:p w14:paraId="4D0A1765" w14:textId="77777777" w:rsidR="00E85EE4" w:rsidRPr="00E85EE4" w:rsidRDefault="00E85EE4" w:rsidP="00E85EE4">
      <w:pPr>
        <w:ind w:left="720"/>
      </w:pPr>
      <w:r w:rsidRPr="00E85EE4">
        <w:t>Stable Leadership Hiring: Leadership roles (VP, Sales Manager) were hired sparingly, indicating long-term stability in senior positions.</w:t>
      </w:r>
    </w:p>
    <w:p w14:paraId="17304B8B" w14:textId="77777777" w:rsidR="00E85EE4" w:rsidRDefault="00E85EE4" w:rsidP="00E85EE4">
      <w:pPr>
        <w:ind w:left="720"/>
      </w:pPr>
      <w:r w:rsidRPr="00E85EE4">
        <w:t>Future Implication: If this trend continues, the company might keep increasing its sales team while making minimal changes in management structure.</w:t>
      </w:r>
    </w:p>
    <w:p w14:paraId="2F6D2F80" w14:textId="77777777" w:rsidR="00E85EE4" w:rsidRDefault="00E85EE4" w:rsidP="00E85EE4">
      <w:pPr>
        <w:ind w:left="720"/>
      </w:pPr>
    </w:p>
    <w:p w14:paraId="1CEA11DA" w14:textId="3CB18A59" w:rsidR="00E85EE4" w:rsidRDefault="00E85EE4" w:rsidP="00E85EE4">
      <w:pPr>
        <w:ind w:left="720"/>
        <w:rPr>
          <w:b/>
          <w:bCs/>
        </w:rPr>
      </w:pPr>
      <w:r w:rsidRPr="00AF7B7D">
        <w:rPr>
          <w:b/>
          <w:bCs/>
        </w:rPr>
        <w:t xml:space="preserve">EDA-9: </w:t>
      </w:r>
      <w:r w:rsidR="00AF7B7D" w:rsidRPr="00AF7B7D">
        <w:rPr>
          <w:b/>
          <w:bCs/>
        </w:rPr>
        <w:t>What patterns exist in employee title and courtesy title distributions?</w:t>
      </w:r>
    </w:p>
    <w:p w14:paraId="56FAD590" w14:textId="6E1C2307" w:rsidR="00AF7B7D" w:rsidRDefault="00704426" w:rsidP="00E85EE4">
      <w:pPr>
        <w:ind w:left="720"/>
        <w:rPr>
          <w:b/>
          <w:bCs/>
        </w:rPr>
      </w:pPr>
      <w:r>
        <w:rPr>
          <w:noProof/>
        </w:rPr>
        <w:drawing>
          <wp:inline distT="0" distB="0" distL="0" distR="0" wp14:anchorId="4878C3D3" wp14:editId="5BFD3F01">
            <wp:extent cx="4704935" cy="2645802"/>
            <wp:effectExtent l="0" t="0" r="635" b="2540"/>
            <wp:docPr id="521972319" name="Chart 1">
              <a:extLst xmlns:a="http://schemas.openxmlformats.org/drawingml/2006/main">
                <a:ext uri="{FF2B5EF4-FFF2-40B4-BE49-F238E27FC236}">
                  <a16:creationId xmlns:a16="http://schemas.microsoft.com/office/drawing/2014/main" id="{E6A83D99-5C02-A068-2942-A43AD7D07A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A3E228" w14:textId="477C9720" w:rsidR="00AF7B7D" w:rsidRDefault="00AF7B7D" w:rsidP="00E85EE4">
      <w:pPr>
        <w:ind w:left="720"/>
        <w:rPr>
          <w:b/>
          <w:bCs/>
        </w:rPr>
      </w:pPr>
      <w:r>
        <w:rPr>
          <w:noProof/>
        </w:rPr>
        <w:lastRenderedPageBreak/>
        <w:drawing>
          <wp:inline distT="0" distB="0" distL="0" distR="0" wp14:anchorId="11BE7A40" wp14:editId="7610DB7E">
            <wp:extent cx="4562172" cy="2765879"/>
            <wp:effectExtent l="0" t="0" r="0" b="0"/>
            <wp:docPr id="48194261" name="Chart 1">
              <a:extLst xmlns:a="http://schemas.openxmlformats.org/drawingml/2006/main">
                <a:ext uri="{FF2B5EF4-FFF2-40B4-BE49-F238E27FC236}">
                  <a16:creationId xmlns:a16="http://schemas.microsoft.com/office/drawing/2014/main" id="{D067563A-34C5-3EC4-B23C-ECDBC45CC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EC98F5A" w14:textId="77777777" w:rsidR="00AF7B7D" w:rsidRDefault="00AF7B7D" w:rsidP="00E85EE4">
      <w:pPr>
        <w:ind w:left="720"/>
        <w:rPr>
          <w:b/>
          <w:bCs/>
        </w:rPr>
      </w:pPr>
    </w:p>
    <w:p w14:paraId="0DB5E87F" w14:textId="77777777" w:rsidR="00AF7B7D" w:rsidRPr="00AF7B7D" w:rsidRDefault="00AF7B7D" w:rsidP="00AF7B7D">
      <w:pPr>
        <w:ind w:left="720"/>
      </w:pPr>
      <w:r>
        <w:rPr>
          <w:b/>
          <w:bCs/>
        </w:rPr>
        <w:t xml:space="preserve">Conclusion: </w:t>
      </w:r>
      <w:r w:rsidRPr="00AF7B7D">
        <w:t>Dominance of Sales Roles: "Sales Representative" is the most prevalent employee title, accounting for 3 out of the 7 recorded employees. This suggests a sales-heavy organizational structure within this sample. Other roles include "Inside Sales Coordinator," "Sales Manager," and "Vice President, Sales."</w:t>
      </w:r>
    </w:p>
    <w:p w14:paraId="16A4FD2C" w14:textId="77777777" w:rsidR="00AF7B7D" w:rsidRPr="00AF7B7D" w:rsidRDefault="00AF7B7D" w:rsidP="00AF7B7D">
      <w:pPr>
        <w:ind w:left="720"/>
      </w:pPr>
      <w:r w:rsidRPr="00AF7B7D">
        <w:t>Courtesy Title Distribution: "Mr." and "Ms." are equally common (2 occurrences each), followed by "Dr." (1 occurrence). This general distribution is expected in most professional settings.</w:t>
      </w:r>
    </w:p>
    <w:p w14:paraId="52913AD4" w14:textId="77777777" w:rsidR="00AF7B7D" w:rsidRPr="00AF7B7D" w:rsidRDefault="00AF7B7D" w:rsidP="00AF7B7D">
      <w:pPr>
        <w:ind w:left="720"/>
      </w:pPr>
      <w:r w:rsidRPr="00AF7B7D">
        <w:t>Title-Courtesy Title Linkages (Preliminary):</w:t>
      </w:r>
    </w:p>
    <w:p w14:paraId="288AB98C" w14:textId="77777777" w:rsidR="00AF7B7D" w:rsidRPr="00AF7B7D" w:rsidRDefault="00AF7B7D" w:rsidP="00AF7B7D">
      <w:pPr>
        <w:ind w:left="720"/>
      </w:pPr>
      <w:r w:rsidRPr="00AF7B7D">
        <w:t>"Sales Representative" appears to be associated with both "Mr." and "Ms."</w:t>
      </w:r>
    </w:p>
    <w:p w14:paraId="6CFD043A" w14:textId="77777777" w:rsidR="00AF7B7D" w:rsidRPr="00AF7B7D" w:rsidRDefault="00AF7B7D" w:rsidP="00AF7B7D">
      <w:pPr>
        <w:ind w:left="720"/>
      </w:pPr>
      <w:r w:rsidRPr="00AF7B7D">
        <w:t>"Sales Manager" is associated with "Mr."</w:t>
      </w:r>
    </w:p>
    <w:p w14:paraId="41981324" w14:textId="77777777" w:rsidR="00AF7B7D" w:rsidRPr="00AF7B7D" w:rsidRDefault="00AF7B7D" w:rsidP="00AF7B7D">
      <w:pPr>
        <w:ind w:left="720"/>
      </w:pPr>
      <w:r w:rsidRPr="00AF7B7D">
        <w:t>"Vice President, Sales" is associated with "Dr."</w:t>
      </w:r>
    </w:p>
    <w:p w14:paraId="02231F7A" w14:textId="77777777" w:rsidR="00AF7B7D" w:rsidRDefault="00AF7B7D" w:rsidP="00AF7B7D">
      <w:pPr>
        <w:ind w:left="720"/>
      </w:pPr>
      <w:r w:rsidRPr="00AF7B7D">
        <w:t>"Inside Sales Coordinator" is associated with "Ms."</w:t>
      </w:r>
    </w:p>
    <w:p w14:paraId="62E51BF1" w14:textId="77777777" w:rsidR="00AF7B7D" w:rsidRDefault="00AF7B7D" w:rsidP="00AF7B7D">
      <w:pPr>
        <w:ind w:left="720"/>
      </w:pPr>
    </w:p>
    <w:p w14:paraId="33E75365" w14:textId="613E6099" w:rsidR="00AF7B7D" w:rsidRDefault="00AF7B7D" w:rsidP="00AF7B7D">
      <w:pPr>
        <w:ind w:left="720"/>
        <w:rPr>
          <w:b/>
          <w:bCs/>
        </w:rPr>
      </w:pPr>
      <w:r>
        <w:rPr>
          <w:b/>
          <w:bCs/>
        </w:rPr>
        <w:t xml:space="preserve">EDA-10: </w:t>
      </w:r>
      <w:r w:rsidRPr="00AF7B7D">
        <w:rPr>
          <w:b/>
          <w:bCs/>
        </w:rPr>
        <w:t>Are there correlations between product pricing, stock levels, and sales performance?</w:t>
      </w:r>
    </w:p>
    <w:p w14:paraId="4FE9B01A" w14:textId="5DA03E5D" w:rsidR="00AF7B7D" w:rsidRDefault="00AF7B7D" w:rsidP="00AF7B7D">
      <w:pPr>
        <w:ind w:left="720"/>
        <w:rPr>
          <w:b/>
          <w:bCs/>
        </w:rPr>
      </w:pPr>
      <w:r>
        <w:rPr>
          <w:noProof/>
        </w:rPr>
        <w:lastRenderedPageBreak/>
        <w:drawing>
          <wp:inline distT="0" distB="0" distL="0" distR="0" wp14:anchorId="67856B32" wp14:editId="3A54815D">
            <wp:extent cx="4563505" cy="2687451"/>
            <wp:effectExtent l="0" t="0" r="8890" b="17780"/>
            <wp:docPr id="1193729816" name="Chart 1">
              <a:extLst xmlns:a="http://schemas.openxmlformats.org/drawingml/2006/main">
                <a:ext uri="{FF2B5EF4-FFF2-40B4-BE49-F238E27FC236}">
                  <a16:creationId xmlns:a16="http://schemas.microsoft.com/office/drawing/2014/main" id="{F3304E7B-66D7-F6BE-9F03-AF04F3E379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D9C111" w14:textId="423F843D" w:rsidR="00AF7B7D" w:rsidRDefault="00AF7B7D" w:rsidP="00AF7B7D">
      <w:pPr>
        <w:ind w:left="720"/>
        <w:rPr>
          <w:b/>
          <w:bCs/>
        </w:rPr>
      </w:pPr>
      <w:r>
        <w:rPr>
          <w:noProof/>
        </w:rPr>
        <w:drawing>
          <wp:inline distT="0" distB="0" distL="0" distR="0" wp14:anchorId="19C0E4B4" wp14:editId="5949BC74">
            <wp:extent cx="4563505" cy="2687451"/>
            <wp:effectExtent l="0" t="0" r="8890" b="17780"/>
            <wp:docPr id="1602548518" name="Chart 1">
              <a:extLst xmlns:a="http://schemas.openxmlformats.org/drawingml/2006/main">
                <a:ext uri="{FF2B5EF4-FFF2-40B4-BE49-F238E27FC236}">
                  <a16:creationId xmlns:a16="http://schemas.microsoft.com/office/drawing/2014/main" id="{A16A4640-1B07-4051-8C07-03A349453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04C8EFC" w14:textId="37ABAEB3" w:rsidR="00AF7B7D" w:rsidRDefault="00AF7B7D" w:rsidP="00AF7B7D">
      <w:pPr>
        <w:ind w:left="720"/>
        <w:rPr>
          <w:b/>
          <w:bCs/>
        </w:rPr>
      </w:pPr>
      <w:r>
        <w:rPr>
          <w:noProof/>
        </w:rPr>
        <w:drawing>
          <wp:inline distT="0" distB="0" distL="0" distR="0" wp14:anchorId="5059DFF2" wp14:editId="45188662">
            <wp:extent cx="4563505" cy="2691168"/>
            <wp:effectExtent l="0" t="0" r="8890" b="13970"/>
            <wp:docPr id="541196348" name="Chart 1">
              <a:extLst xmlns:a="http://schemas.openxmlformats.org/drawingml/2006/main">
                <a:ext uri="{FF2B5EF4-FFF2-40B4-BE49-F238E27FC236}">
                  <a16:creationId xmlns:a16="http://schemas.microsoft.com/office/drawing/2014/main" id="{431096A8-C94C-4A7F-B074-958846873D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2F92643" w14:textId="77777777" w:rsidR="00AF7B7D" w:rsidRDefault="00AF7B7D" w:rsidP="00AF7B7D">
      <w:pPr>
        <w:ind w:left="720"/>
        <w:rPr>
          <w:b/>
          <w:bCs/>
        </w:rPr>
      </w:pPr>
    </w:p>
    <w:p w14:paraId="5E97F77C" w14:textId="39D3C8AA" w:rsidR="00AF7B7D" w:rsidRDefault="00AF7B7D" w:rsidP="00AF7B7D">
      <w:pPr>
        <w:ind w:left="720"/>
      </w:pPr>
      <w:r>
        <w:rPr>
          <w:b/>
          <w:bCs/>
        </w:rPr>
        <w:lastRenderedPageBreak/>
        <w:t xml:space="preserve">Conclusion: </w:t>
      </w:r>
      <w:r w:rsidRPr="00AF7B7D">
        <w:t>There is a strong positive correlation between price and sales (0.8674), indicating higher-priced products generate more revenue. The weak negative correlation between price and stock (-0.0712) suggests pricing has little impact on inventory levels. Similarly, price and units sold show almost no correlation (-0.0038), meaning expensive products sell in lower quantities but still drive high revenue.</w:t>
      </w:r>
    </w:p>
    <w:p w14:paraId="210FFCBE" w14:textId="77777777" w:rsidR="00AF7B7D" w:rsidRDefault="00AF7B7D" w:rsidP="00AF7B7D">
      <w:pPr>
        <w:ind w:left="720"/>
        <w:rPr>
          <w:b/>
          <w:bCs/>
        </w:rPr>
      </w:pPr>
    </w:p>
    <w:p w14:paraId="5C5296E1" w14:textId="2DC28265" w:rsidR="00AF7B7D" w:rsidRDefault="00AF7B7D" w:rsidP="00AF7B7D">
      <w:pPr>
        <w:ind w:left="720"/>
        <w:rPr>
          <w:b/>
          <w:bCs/>
        </w:rPr>
      </w:pPr>
      <w:r>
        <w:rPr>
          <w:b/>
          <w:bCs/>
        </w:rPr>
        <w:t xml:space="preserve">EDA-11: </w:t>
      </w:r>
      <w:r w:rsidRPr="00AF7B7D">
        <w:rPr>
          <w:b/>
          <w:bCs/>
        </w:rPr>
        <w:t>How does product demand change over months or seasons?</w:t>
      </w:r>
    </w:p>
    <w:p w14:paraId="1E3295F0" w14:textId="06B0FA50" w:rsidR="00AF7B7D" w:rsidRDefault="00AF7B7D" w:rsidP="00AF7B7D">
      <w:pPr>
        <w:ind w:left="720"/>
        <w:rPr>
          <w:b/>
          <w:bCs/>
        </w:rPr>
      </w:pPr>
      <w:r>
        <w:rPr>
          <w:noProof/>
        </w:rPr>
        <w:drawing>
          <wp:inline distT="0" distB="0" distL="0" distR="0" wp14:anchorId="4E7F738D" wp14:editId="60FCAC34">
            <wp:extent cx="5731510" cy="2542540"/>
            <wp:effectExtent l="0" t="0" r="2540" b="0"/>
            <wp:docPr id="548749208" name="Chart 1">
              <a:extLst xmlns:a="http://schemas.openxmlformats.org/drawingml/2006/main">
                <a:ext uri="{FF2B5EF4-FFF2-40B4-BE49-F238E27FC236}">
                  <a16:creationId xmlns:a16="http://schemas.microsoft.com/office/drawing/2014/main" id="{EA9D2F27-202E-74D2-BEDA-9CF367C9C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E2DB64A" w14:textId="77777777" w:rsidR="00AF7B7D" w:rsidRDefault="00AF7B7D" w:rsidP="00AF7B7D">
      <w:pPr>
        <w:ind w:left="720"/>
        <w:rPr>
          <w:b/>
          <w:bCs/>
        </w:rPr>
      </w:pPr>
    </w:p>
    <w:p w14:paraId="15CCB34E" w14:textId="77777777" w:rsidR="00AF7B7D" w:rsidRPr="00AF7B7D" w:rsidRDefault="00AF7B7D" w:rsidP="00AF7B7D">
      <w:pPr>
        <w:ind w:left="720"/>
      </w:pPr>
      <w:r>
        <w:rPr>
          <w:b/>
          <w:bCs/>
        </w:rPr>
        <w:t xml:space="preserve">Conclusion: </w:t>
      </w:r>
      <w:r w:rsidRPr="00AF7B7D">
        <w:t xml:space="preserve">Product demand shows clear seasonal fluctuations, with peak sales in May and June (around 7,000 units) and a significant drop in July (1,635 units), followed by a steady recovery towards the year-end. This pattern suggests strong seasonal buying </w:t>
      </w:r>
      <w:proofErr w:type="spellStart"/>
      <w:r w:rsidRPr="00AF7B7D">
        <w:t>behavior</w:t>
      </w:r>
      <w:proofErr w:type="spellEnd"/>
      <w:r w:rsidRPr="00AF7B7D">
        <w:t xml:space="preserve"> or promotional influence during late spring/early summer, while July appears to be an off-peak month.</w:t>
      </w:r>
    </w:p>
    <w:p w14:paraId="69076DCE" w14:textId="77777777" w:rsidR="00AF7B7D" w:rsidRPr="00AF7B7D" w:rsidRDefault="00AF7B7D" w:rsidP="00AF7B7D">
      <w:pPr>
        <w:ind w:left="720"/>
      </w:pPr>
      <w:r w:rsidRPr="00AF7B7D">
        <w:t>Business Implications:</w:t>
      </w:r>
    </w:p>
    <w:p w14:paraId="5D0C7A0F" w14:textId="77777777" w:rsidR="00AF7B7D" w:rsidRPr="00AF7B7D" w:rsidRDefault="00AF7B7D" w:rsidP="00AF7B7D">
      <w:pPr>
        <w:ind w:left="720"/>
      </w:pPr>
      <w:r w:rsidRPr="00AF7B7D">
        <w:t>Increase inventory and marketing efforts before May–June to maximize revenue during peak demand.</w:t>
      </w:r>
    </w:p>
    <w:p w14:paraId="42B385D0" w14:textId="77777777" w:rsidR="00AF7B7D" w:rsidRPr="00AF7B7D" w:rsidRDefault="00AF7B7D" w:rsidP="00AF7B7D">
      <w:pPr>
        <w:ind w:left="720"/>
      </w:pPr>
      <w:r w:rsidRPr="00AF7B7D">
        <w:t>Reduce stock levels in July to avoid overstocking and consider targeted promotions to boost sales.</w:t>
      </w:r>
    </w:p>
    <w:p w14:paraId="7C2159C5" w14:textId="77777777" w:rsidR="00AF7B7D" w:rsidRDefault="00AF7B7D" w:rsidP="00AF7B7D">
      <w:pPr>
        <w:ind w:left="720"/>
      </w:pPr>
      <w:r w:rsidRPr="00AF7B7D">
        <w:t>Plan moderate stocking in August–December as demand gradually recovers.</w:t>
      </w:r>
    </w:p>
    <w:p w14:paraId="1C55BE3E" w14:textId="77777777" w:rsidR="00AF7B7D" w:rsidRDefault="00AF7B7D" w:rsidP="00AF7B7D">
      <w:pPr>
        <w:ind w:left="720"/>
      </w:pPr>
    </w:p>
    <w:p w14:paraId="07DCDD11" w14:textId="2F7BA4F9" w:rsidR="00AF7B7D" w:rsidRDefault="00AF7B7D" w:rsidP="00AF7B7D">
      <w:pPr>
        <w:ind w:left="720"/>
        <w:rPr>
          <w:b/>
          <w:bCs/>
        </w:rPr>
      </w:pPr>
      <w:r w:rsidRPr="00AF7B7D">
        <w:rPr>
          <w:b/>
          <w:bCs/>
        </w:rPr>
        <w:t>EDA-12: Can we identify anomalies in product sales or revenue performance?</w:t>
      </w:r>
    </w:p>
    <w:p w14:paraId="02B0DB33" w14:textId="05B10941" w:rsidR="00AF7B7D" w:rsidRDefault="00AF7B7D" w:rsidP="00AF7B7D">
      <w:pPr>
        <w:ind w:left="720"/>
        <w:rPr>
          <w:b/>
          <w:bCs/>
        </w:rPr>
      </w:pPr>
      <w:r>
        <w:rPr>
          <w:noProof/>
        </w:rPr>
        <w:lastRenderedPageBreak/>
        <w:drawing>
          <wp:inline distT="0" distB="0" distL="0" distR="0" wp14:anchorId="73BCA959" wp14:editId="07EF3125">
            <wp:extent cx="4556974" cy="2640885"/>
            <wp:effectExtent l="0" t="0" r="0" b="7620"/>
            <wp:docPr id="1978207192" name="Chart 1">
              <a:extLst xmlns:a="http://schemas.openxmlformats.org/drawingml/2006/main">
                <a:ext uri="{FF2B5EF4-FFF2-40B4-BE49-F238E27FC236}">
                  <a16:creationId xmlns:a16="http://schemas.microsoft.com/office/drawing/2014/main" id="{6D9DDBAA-C8CB-088C-90A2-3E1821855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139A8C" w14:textId="5FCECA40" w:rsidR="00AF7B7D" w:rsidRDefault="00AF7B7D" w:rsidP="00AF7B7D">
      <w:pPr>
        <w:ind w:left="720"/>
        <w:rPr>
          <w:b/>
          <w:bCs/>
        </w:rPr>
      </w:pPr>
      <w:r>
        <w:rPr>
          <w:noProof/>
        </w:rPr>
        <w:drawing>
          <wp:inline distT="0" distB="0" distL="0" distR="0" wp14:anchorId="1B31DE08" wp14:editId="04CBA165">
            <wp:extent cx="4567148" cy="2649901"/>
            <wp:effectExtent l="0" t="0" r="5080" b="0"/>
            <wp:docPr id="659736555" name="Chart 1">
              <a:extLst xmlns:a="http://schemas.openxmlformats.org/drawingml/2006/main">
                <a:ext uri="{FF2B5EF4-FFF2-40B4-BE49-F238E27FC236}">
                  <a16:creationId xmlns:a16="http://schemas.microsoft.com/office/drawing/2014/main" id="{73AEA09E-25E3-DFBE-A2A2-077D1B93BB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9E49DE" w14:textId="77777777" w:rsidR="006E1534" w:rsidRPr="006E1534" w:rsidRDefault="00AF7B7D" w:rsidP="006E1534">
      <w:pPr>
        <w:ind w:left="720"/>
      </w:pPr>
      <w:r>
        <w:rPr>
          <w:b/>
          <w:bCs/>
        </w:rPr>
        <w:t xml:space="preserve">Conclusion: </w:t>
      </w:r>
      <w:r w:rsidR="006E1534" w:rsidRPr="006E1534">
        <w:t>Seasonal Demand: Both product orders and revenue peak in holiday and early-year months, confirming strong seasonal purchasing patterns.</w:t>
      </w:r>
    </w:p>
    <w:p w14:paraId="7E848A02" w14:textId="77777777" w:rsidR="006E1534" w:rsidRPr="006E1534" w:rsidRDefault="006E1534" w:rsidP="006E1534">
      <w:pPr>
        <w:ind w:left="720"/>
      </w:pPr>
      <w:r w:rsidRPr="006E1534">
        <w:t>Promotional Opportunities: Since anomalies coincide with high-demand periods, targeted promotions during peak months (Nov–Apr) could maximize revenue.</w:t>
      </w:r>
    </w:p>
    <w:p w14:paraId="3DAF700E" w14:textId="77777777" w:rsidR="006E1534" w:rsidRPr="006E1534" w:rsidRDefault="006E1534" w:rsidP="006E1534">
      <w:pPr>
        <w:ind w:left="720"/>
      </w:pPr>
      <w:r w:rsidRPr="006E1534">
        <w:t>Inventory Management: Sudden drops (e.g., Jun 1996) may indicate stockouts or seasonal demand decline, suggesting a need for better demand forecasting.</w:t>
      </w:r>
    </w:p>
    <w:p w14:paraId="51CFFDFC" w14:textId="0CD14E16" w:rsidR="00AF7B7D" w:rsidRDefault="006E1534" w:rsidP="006E1534">
      <w:pPr>
        <w:ind w:left="720"/>
      </w:pPr>
      <w:r w:rsidRPr="006E1534">
        <w:t>Strategic Focus: High-revenue anomalies should be analysed further to replicate successful campaigns or bulk-order partnerships</w:t>
      </w:r>
    </w:p>
    <w:p w14:paraId="1C04A81E" w14:textId="77777777" w:rsidR="006E1534" w:rsidRDefault="006E1534" w:rsidP="006E1534">
      <w:pPr>
        <w:ind w:left="720"/>
      </w:pPr>
    </w:p>
    <w:p w14:paraId="472E12C3" w14:textId="581372CD" w:rsidR="006E1534" w:rsidRDefault="006E1534" w:rsidP="006E1534">
      <w:pPr>
        <w:ind w:left="720"/>
        <w:rPr>
          <w:b/>
          <w:bCs/>
        </w:rPr>
      </w:pPr>
      <w:r w:rsidRPr="006E1534">
        <w:rPr>
          <w:b/>
          <w:bCs/>
        </w:rPr>
        <w:t>EDA-13: Are there any regional trends in supplier distribution and pricing?</w:t>
      </w:r>
    </w:p>
    <w:p w14:paraId="05E70E1F" w14:textId="15E5E0C5" w:rsidR="006E1534" w:rsidRDefault="006E1534" w:rsidP="006E1534">
      <w:pPr>
        <w:ind w:left="720"/>
        <w:rPr>
          <w:b/>
          <w:bCs/>
        </w:rPr>
      </w:pPr>
      <w:r>
        <w:rPr>
          <w:noProof/>
        </w:rPr>
        <w:lastRenderedPageBreak/>
        <w:drawing>
          <wp:inline distT="0" distB="0" distL="0" distR="0" wp14:anchorId="2EECB537" wp14:editId="4EF76730">
            <wp:extent cx="4576825" cy="2859005"/>
            <wp:effectExtent l="0" t="0" r="0" b="0"/>
            <wp:docPr id="1238985378" name="Chart 1">
              <a:extLst xmlns:a="http://schemas.openxmlformats.org/drawingml/2006/main">
                <a:ext uri="{FF2B5EF4-FFF2-40B4-BE49-F238E27FC236}">
                  <a16:creationId xmlns:a16="http://schemas.microsoft.com/office/drawing/2014/main" id="{5A7FE19C-82F3-3183-18AA-5684CCD71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08455E4" w14:textId="77777777" w:rsidR="006E1534" w:rsidRPr="006E1534" w:rsidRDefault="006E1534" w:rsidP="006E1534">
      <w:pPr>
        <w:ind w:left="720"/>
        <w:rPr>
          <w:b/>
          <w:bCs/>
        </w:rPr>
      </w:pPr>
      <w:r>
        <w:rPr>
          <w:b/>
          <w:bCs/>
        </w:rPr>
        <w:t xml:space="preserve">Conclusion: </w:t>
      </w:r>
      <w:r w:rsidRPr="006E1534">
        <w:t>France leads with the highest average product price, suggesting premium suppliers, while Germany and Australia balance moderate pricing with more suppliers. Countries like Brazil and Denmark have the lowest prices, indicating budget-friendly markets. Overall, higher-priced markets tend to have fewer suppliers, reflecting specialization.</w:t>
      </w:r>
    </w:p>
    <w:p w14:paraId="23F62338" w14:textId="0FDFC7B3" w:rsidR="006E1534" w:rsidRPr="00AF7B7D" w:rsidRDefault="006E1534" w:rsidP="006E1534">
      <w:pPr>
        <w:ind w:left="720"/>
        <w:rPr>
          <w:b/>
          <w:bCs/>
        </w:rPr>
      </w:pPr>
    </w:p>
    <w:p w14:paraId="48C2E326" w14:textId="51C3CED3" w:rsidR="00AF7B7D" w:rsidRDefault="006E1534" w:rsidP="00AF7B7D">
      <w:pPr>
        <w:ind w:left="720"/>
        <w:rPr>
          <w:b/>
          <w:bCs/>
        </w:rPr>
      </w:pPr>
      <w:r>
        <w:rPr>
          <w:b/>
          <w:bCs/>
        </w:rPr>
        <w:t xml:space="preserve">EDA-14: </w:t>
      </w:r>
      <w:r w:rsidRPr="006E1534">
        <w:rPr>
          <w:b/>
          <w:bCs/>
        </w:rPr>
        <w:t>How are suppliers distributed across different product categories?</w:t>
      </w:r>
    </w:p>
    <w:p w14:paraId="2AC1E572" w14:textId="70CF2B9E" w:rsidR="006E1534" w:rsidRDefault="006E1534" w:rsidP="00AF7B7D">
      <w:pPr>
        <w:ind w:left="720"/>
        <w:rPr>
          <w:b/>
          <w:bCs/>
        </w:rPr>
      </w:pPr>
      <w:r>
        <w:rPr>
          <w:noProof/>
        </w:rPr>
        <w:drawing>
          <wp:inline distT="0" distB="0" distL="0" distR="0" wp14:anchorId="56C9416F" wp14:editId="6DA7F84E">
            <wp:extent cx="5731510" cy="3273425"/>
            <wp:effectExtent l="0" t="0" r="2540" b="3175"/>
            <wp:docPr id="1895410276" name="Chart 1">
              <a:extLst xmlns:a="http://schemas.openxmlformats.org/drawingml/2006/main">
                <a:ext uri="{FF2B5EF4-FFF2-40B4-BE49-F238E27FC236}">
                  <a16:creationId xmlns:a16="http://schemas.microsoft.com/office/drawing/2014/main" id="{D5BF8BB3-141D-2E57-A7B0-615DB3C8A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E1B795A" w14:textId="69DF3440" w:rsidR="006E1534" w:rsidRDefault="006E1534" w:rsidP="006E1534">
      <w:pPr>
        <w:ind w:left="720"/>
      </w:pPr>
      <w:r>
        <w:rPr>
          <w:b/>
          <w:bCs/>
        </w:rPr>
        <w:t xml:space="preserve">Conclusion: </w:t>
      </w:r>
      <w:r w:rsidRPr="006E1534">
        <w:t>Germany and Australia have the most diverse supplier base across categories, while France and Japan focus on high-value products. Seafood and Meat/Poultry have the highest average prices, indicating specialized suppliers, whereas Produce and Confections are widely distributed with more competition.</w:t>
      </w:r>
    </w:p>
    <w:p w14:paraId="7D957A08" w14:textId="30E35A7F" w:rsidR="006E1534" w:rsidRDefault="006E1534" w:rsidP="006E1534">
      <w:pPr>
        <w:ind w:left="720"/>
        <w:rPr>
          <w:b/>
          <w:bCs/>
        </w:rPr>
      </w:pPr>
    </w:p>
    <w:p w14:paraId="1082EDA1" w14:textId="59C89BA7" w:rsidR="006E1534" w:rsidRDefault="006E1534" w:rsidP="006E1534">
      <w:pPr>
        <w:ind w:left="720"/>
        <w:rPr>
          <w:b/>
          <w:bCs/>
        </w:rPr>
      </w:pPr>
      <w:r>
        <w:rPr>
          <w:b/>
          <w:bCs/>
        </w:rPr>
        <w:lastRenderedPageBreak/>
        <w:t xml:space="preserve">EDA-15: </w:t>
      </w:r>
      <w:r w:rsidRPr="006E1534">
        <w:rPr>
          <w:b/>
          <w:bCs/>
        </w:rPr>
        <w:t>How do supplier pricing and categories relate across different regions?</w:t>
      </w:r>
    </w:p>
    <w:p w14:paraId="569D2E2E" w14:textId="43BAA20C" w:rsidR="006E1534" w:rsidRDefault="006E1534" w:rsidP="006E1534">
      <w:pPr>
        <w:ind w:left="720"/>
      </w:pPr>
      <w:r>
        <w:rPr>
          <w:noProof/>
        </w:rPr>
        <w:drawing>
          <wp:inline distT="0" distB="0" distL="0" distR="0" wp14:anchorId="69E78118" wp14:editId="3CEBCDA5">
            <wp:extent cx="5731510" cy="3823335"/>
            <wp:effectExtent l="0" t="0" r="2540" b="5715"/>
            <wp:docPr id="523974401" name="Chart 1">
              <a:extLst xmlns:a="http://schemas.openxmlformats.org/drawingml/2006/main">
                <a:ext uri="{FF2B5EF4-FFF2-40B4-BE49-F238E27FC236}">
                  <a16:creationId xmlns:a16="http://schemas.microsoft.com/office/drawing/2014/main" id="{0B50976A-BF83-822A-13C1-D01E4E47DA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EF7D515" w14:textId="77777777" w:rsidR="006E1534" w:rsidRDefault="006E1534" w:rsidP="006E1534">
      <w:pPr>
        <w:ind w:left="720"/>
      </w:pPr>
    </w:p>
    <w:p w14:paraId="0218E45A" w14:textId="77777777" w:rsidR="006E1534" w:rsidRPr="006E1534" w:rsidRDefault="006E1534" w:rsidP="006E1534">
      <w:pPr>
        <w:ind w:left="720"/>
        <w:rPr>
          <w:b/>
          <w:bCs/>
        </w:rPr>
      </w:pPr>
      <w:r w:rsidRPr="006E1534">
        <w:rPr>
          <w:b/>
          <w:bCs/>
        </w:rPr>
        <w:t>Conclusion:</w:t>
      </w:r>
      <w:r>
        <w:rPr>
          <w:b/>
          <w:bCs/>
        </w:rPr>
        <w:t xml:space="preserve"> </w:t>
      </w:r>
      <w:r w:rsidRPr="006E1534">
        <w:t>Germany and Australia show the highest average supplier pricing, particularly in Meat/Poultry and Beverages. Australia also has high prices for Seafood and Condiments. Brazil and Denmark have the lowest pricing, indicating cost-effective supply markets. Pricing trends vary significantly by category, suggesting regional specializations and market dynamics—e.g., Japan excels in Beverages, while Canada has balanced mid-range pricing.</w:t>
      </w:r>
    </w:p>
    <w:p w14:paraId="02523C45" w14:textId="0FFD0825" w:rsidR="006E1534" w:rsidRPr="006E1534" w:rsidRDefault="006E1534" w:rsidP="006E1534">
      <w:pPr>
        <w:ind w:left="720"/>
        <w:rPr>
          <w:b/>
          <w:bCs/>
        </w:rPr>
      </w:pPr>
    </w:p>
    <w:p w14:paraId="40213EB9" w14:textId="5F0B56B2" w:rsidR="006E1534" w:rsidRPr="00AF7B7D" w:rsidRDefault="006E1534" w:rsidP="00AF7B7D">
      <w:pPr>
        <w:ind w:left="720"/>
        <w:rPr>
          <w:b/>
          <w:bCs/>
        </w:rPr>
      </w:pPr>
    </w:p>
    <w:p w14:paraId="279ECF42" w14:textId="06FE3D99" w:rsidR="00AF7B7D" w:rsidRPr="00AF7B7D" w:rsidRDefault="00AF7B7D" w:rsidP="00AF7B7D">
      <w:pPr>
        <w:ind w:left="720"/>
      </w:pPr>
    </w:p>
    <w:p w14:paraId="05D27AE6" w14:textId="187B452B" w:rsidR="00AF7B7D" w:rsidRPr="00E85EE4" w:rsidRDefault="00AF7B7D" w:rsidP="00E85EE4">
      <w:pPr>
        <w:ind w:left="720"/>
        <w:rPr>
          <w:b/>
          <w:bCs/>
        </w:rPr>
      </w:pPr>
    </w:p>
    <w:p w14:paraId="71B2A0A2" w14:textId="32CEE2C5" w:rsidR="00E85EE4" w:rsidRPr="00E85EE4" w:rsidRDefault="00E85EE4" w:rsidP="00E85EE4">
      <w:pPr>
        <w:ind w:left="720"/>
      </w:pPr>
    </w:p>
    <w:p w14:paraId="64AEF88F" w14:textId="46F94556" w:rsidR="00E85EE4" w:rsidRPr="00E85EE4" w:rsidRDefault="00E85EE4" w:rsidP="00E85EE4">
      <w:pPr>
        <w:ind w:left="720"/>
      </w:pPr>
    </w:p>
    <w:p w14:paraId="20A5E07C" w14:textId="6CC22757" w:rsidR="00E85EE4" w:rsidRPr="00DD6B93" w:rsidRDefault="00E85EE4" w:rsidP="00DD6B93">
      <w:pPr>
        <w:ind w:left="720"/>
      </w:pPr>
    </w:p>
    <w:p w14:paraId="6C5272DE" w14:textId="336435F7" w:rsidR="00DD6B93" w:rsidRPr="00DD6B93" w:rsidRDefault="00DD6B93" w:rsidP="00DD6B93">
      <w:pPr>
        <w:ind w:left="720"/>
      </w:pPr>
    </w:p>
    <w:p w14:paraId="43E7150D" w14:textId="222B361F" w:rsidR="00DD6B93" w:rsidRPr="003D12BF" w:rsidRDefault="00DD6B93" w:rsidP="003D12BF">
      <w:pPr>
        <w:ind w:left="720"/>
        <w:rPr>
          <w:b/>
          <w:bCs/>
        </w:rPr>
      </w:pPr>
    </w:p>
    <w:p w14:paraId="23045C54" w14:textId="77777777" w:rsidR="006E1534" w:rsidRDefault="006E1534" w:rsidP="003D12BF">
      <w:pPr>
        <w:rPr>
          <w:b/>
          <w:bCs/>
        </w:rPr>
      </w:pPr>
    </w:p>
    <w:p w14:paraId="0E79A3FC" w14:textId="77777777" w:rsidR="006E1534" w:rsidRDefault="006E1534" w:rsidP="003D12BF">
      <w:pPr>
        <w:rPr>
          <w:b/>
          <w:bCs/>
        </w:rPr>
      </w:pPr>
    </w:p>
    <w:p w14:paraId="410A77AE" w14:textId="77777777" w:rsidR="006E1534" w:rsidRDefault="006E1534" w:rsidP="003D12BF">
      <w:pPr>
        <w:rPr>
          <w:b/>
          <w:bCs/>
        </w:rPr>
      </w:pPr>
    </w:p>
    <w:p w14:paraId="5C188BC7" w14:textId="6B94A853" w:rsidR="003D12BF" w:rsidRPr="003D12BF" w:rsidRDefault="003D12BF" w:rsidP="003D12BF">
      <w:r w:rsidRPr="003D12BF">
        <w:rPr>
          <w:b/>
          <w:bCs/>
        </w:rPr>
        <w:lastRenderedPageBreak/>
        <w:t>B. Power BI – Dashboarding Process</w:t>
      </w:r>
    </w:p>
    <w:p w14:paraId="34B742E3" w14:textId="77777777" w:rsidR="003D12BF" w:rsidRPr="003D12BF" w:rsidRDefault="003D12BF" w:rsidP="003D12BF">
      <w:r w:rsidRPr="003D12BF">
        <w:t xml:space="preserve">This phase involves transforming the cleaned and </w:t>
      </w:r>
      <w:proofErr w:type="spellStart"/>
      <w:r w:rsidRPr="003D12BF">
        <w:t>analyzed</w:t>
      </w:r>
      <w:proofErr w:type="spellEnd"/>
      <w:r w:rsidRPr="003D12BF">
        <w:t xml:space="preserve"> data into interactive and insightful dashboards.</w:t>
      </w:r>
    </w:p>
    <w:p w14:paraId="758DC006" w14:textId="77777777" w:rsidR="003D12BF" w:rsidRPr="003D12BF" w:rsidRDefault="003D12BF" w:rsidP="003D12BF">
      <w:pPr>
        <w:numPr>
          <w:ilvl w:val="0"/>
          <w:numId w:val="6"/>
        </w:numPr>
      </w:pPr>
      <w:r w:rsidRPr="003D12BF">
        <w:rPr>
          <w:b/>
          <w:bCs/>
        </w:rPr>
        <w:t>Data Importing</w:t>
      </w:r>
      <w:r w:rsidRPr="003D12BF">
        <w:t>: The refined data from the Northwind database will be loaded directly into Power BI Desktop. This involves connecting to the data source (e.g., SQL Server database) and selecting the relevant tables.</w:t>
      </w:r>
    </w:p>
    <w:p w14:paraId="5A0CA3E8" w14:textId="77777777" w:rsidR="003D12BF" w:rsidRPr="003D12BF" w:rsidRDefault="003D12BF" w:rsidP="003D12BF">
      <w:pPr>
        <w:numPr>
          <w:ilvl w:val="0"/>
          <w:numId w:val="6"/>
        </w:numPr>
      </w:pPr>
      <w:r w:rsidRPr="003D12BF">
        <w:rPr>
          <w:b/>
          <w:bCs/>
        </w:rPr>
        <w:t>Data Transformation (Power Query)</w:t>
      </w:r>
      <w:r w:rsidRPr="003D12BF">
        <w:t>: Even after initial cleaning in SQL, Power Query Editor within Power BI will be utilized for any final data cleaning and shaping. This includes:</w:t>
      </w:r>
    </w:p>
    <w:p w14:paraId="31F8F3B1" w14:textId="77777777" w:rsidR="003D12BF" w:rsidRPr="003D12BF" w:rsidRDefault="003D12BF" w:rsidP="003D12BF">
      <w:pPr>
        <w:numPr>
          <w:ilvl w:val="1"/>
          <w:numId w:val="6"/>
        </w:numPr>
      </w:pPr>
      <w:r w:rsidRPr="003D12BF">
        <w:t>Changing data types to ensure correct calculations and visualizations.</w:t>
      </w:r>
    </w:p>
    <w:p w14:paraId="36A9A32B" w14:textId="77777777" w:rsidR="003D12BF" w:rsidRPr="003D12BF" w:rsidRDefault="003D12BF" w:rsidP="003D12BF">
      <w:pPr>
        <w:numPr>
          <w:ilvl w:val="1"/>
          <w:numId w:val="6"/>
        </w:numPr>
      </w:pPr>
      <w:r w:rsidRPr="003D12BF">
        <w:t>Handling any remaining nulls or errors specific to Power BI's environment.</w:t>
      </w:r>
    </w:p>
    <w:p w14:paraId="24E5889B" w14:textId="77777777" w:rsidR="003D12BF" w:rsidRPr="003D12BF" w:rsidRDefault="003D12BF" w:rsidP="003D12BF">
      <w:pPr>
        <w:numPr>
          <w:ilvl w:val="1"/>
          <w:numId w:val="6"/>
        </w:numPr>
      </w:pPr>
      <w:r w:rsidRPr="003D12BF">
        <w:t>Unpivoting/pivoting data if needed for specific visualizations.</w:t>
      </w:r>
    </w:p>
    <w:p w14:paraId="14B66FF0" w14:textId="4C260CB4" w:rsidR="003D12BF" w:rsidRPr="003D12BF" w:rsidRDefault="003D12BF" w:rsidP="003D12BF">
      <w:pPr>
        <w:numPr>
          <w:ilvl w:val="1"/>
          <w:numId w:val="6"/>
        </w:numPr>
      </w:pPr>
      <w:r w:rsidRPr="003D12BF">
        <w:t xml:space="preserve">Creating custom columns (e.g., Year, Month from </w:t>
      </w:r>
      <w:r w:rsidR="006E1534" w:rsidRPr="003D12BF">
        <w:t>Order Date</w:t>
      </w:r>
      <w:r w:rsidRPr="003D12BF">
        <w:t xml:space="preserve"> if not already done in SQL).</w:t>
      </w:r>
    </w:p>
    <w:p w14:paraId="35F1048F" w14:textId="4FFB7DA1" w:rsidR="003D12BF" w:rsidRPr="003D12BF" w:rsidRDefault="003D12BF" w:rsidP="003D12BF">
      <w:pPr>
        <w:numPr>
          <w:ilvl w:val="0"/>
          <w:numId w:val="6"/>
        </w:numPr>
      </w:pPr>
      <w:r w:rsidRPr="003D12BF">
        <w:rPr>
          <w:b/>
          <w:bCs/>
        </w:rPr>
        <w:t xml:space="preserve">Data </w:t>
      </w:r>
      <w:r w:rsidR="006E1534" w:rsidRPr="003D12BF">
        <w:rPr>
          <w:b/>
          <w:bCs/>
        </w:rPr>
        <w:t>Modelling</w:t>
      </w:r>
      <w:r w:rsidRPr="003D12BF">
        <w:t xml:space="preserve">: Establishing robust relationships between tables in Power BI's data model view is crucial. This involves dragging and dropping fields to create relationships (e.g., one-to-many, many-to-many) based on the ERD understanding. Proper data </w:t>
      </w:r>
      <w:r w:rsidR="006E1534" w:rsidRPr="003D12BF">
        <w:t>modelling</w:t>
      </w:r>
      <w:r w:rsidRPr="003D12BF">
        <w:t xml:space="preserve"> ensures accurate filtering and aggregation across different tables.</w:t>
      </w:r>
    </w:p>
    <w:p w14:paraId="7A48A887" w14:textId="77777777" w:rsidR="003D12BF" w:rsidRPr="003D12BF" w:rsidRDefault="003D12BF" w:rsidP="003D12BF">
      <w:pPr>
        <w:numPr>
          <w:ilvl w:val="0"/>
          <w:numId w:val="6"/>
        </w:numPr>
      </w:pPr>
      <w:r w:rsidRPr="003D12BF">
        <w:rPr>
          <w:b/>
          <w:bCs/>
        </w:rPr>
        <w:t>Creating KPIs and DAX Measures</w:t>
      </w:r>
      <w:r w:rsidRPr="003D12BF">
        <w:t>: Data Analysis Expressions (DAX) will be used to create powerful calculations and Key Performance Indicators (KPIs). Examples include:</w:t>
      </w:r>
    </w:p>
    <w:p w14:paraId="5076474A" w14:textId="77777777" w:rsidR="003D12BF" w:rsidRPr="003D12BF" w:rsidRDefault="003D12BF" w:rsidP="003D12BF">
      <w:pPr>
        <w:numPr>
          <w:ilvl w:val="1"/>
          <w:numId w:val="6"/>
        </w:numPr>
      </w:pPr>
      <w:r w:rsidRPr="003D12BF">
        <w:t xml:space="preserve">Total Sales = </w:t>
      </w:r>
      <w:proofErr w:type="gramStart"/>
      <w:r w:rsidRPr="003D12BF">
        <w:t>SUMX(</w:t>
      </w:r>
      <w:proofErr w:type="gramEnd"/>
      <w:r w:rsidRPr="003D12BF">
        <w:t>'Order Details', [Quantity] * [</w:t>
      </w:r>
      <w:proofErr w:type="spellStart"/>
      <w:r w:rsidRPr="003D12BF">
        <w:t>UnitPrice</w:t>
      </w:r>
      <w:proofErr w:type="spellEnd"/>
      <w:r w:rsidRPr="003D12BF">
        <w:t>] * (1 - [Discount]))</w:t>
      </w:r>
    </w:p>
    <w:p w14:paraId="6499D2A6" w14:textId="77777777" w:rsidR="003D12BF" w:rsidRPr="003D12BF" w:rsidRDefault="003D12BF" w:rsidP="003D12BF">
      <w:pPr>
        <w:numPr>
          <w:ilvl w:val="1"/>
          <w:numId w:val="6"/>
        </w:numPr>
      </w:pPr>
      <w:r w:rsidRPr="003D12BF">
        <w:t xml:space="preserve">Average Order Value = </w:t>
      </w:r>
      <w:proofErr w:type="gramStart"/>
      <w:r w:rsidRPr="003D12BF">
        <w:t>DIVIDE(</w:t>
      </w:r>
      <w:proofErr w:type="gramEnd"/>
      <w:r w:rsidRPr="003D12BF">
        <w:t>[Total Sales], DISTINCTCOUNT(</w:t>
      </w:r>
      <w:proofErr w:type="gramStart"/>
      <w:r w:rsidRPr="003D12BF">
        <w:t>Orders[</w:t>
      </w:r>
      <w:proofErr w:type="spellStart"/>
      <w:proofErr w:type="gramEnd"/>
      <w:r w:rsidRPr="003D12BF">
        <w:t>OrderID</w:t>
      </w:r>
      <w:proofErr w:type="spellEnd"/>
      <w:r w:rsidRPr="003D12BF">
        <w:t>]))</w:t>
      </w:r>
    </w:p>
    <w:p w14:paraId="7C33124D" w14:textId="77777777" w:rsidR="003D12BF" w:rsidRPr="003D12BF" w:rsidRDefault="003D12BF" w:rsidP="003D12BF">
      <w:pPr>
        <w:numPr>
          <w:ilvl w:val="1"/>
          <w:numId w:val="6"/>
        </w:numPr>
      </w:pPr>
      <w:r w:rsidRPr="003D12BF">
        <w:t>Total Customers = DISTINCTCOUNT(</w:t>
      </w:r>
      <w:proofErr w:type="gramStart"/>
      <w:r w:rsidRPr="003D12BF">
        <w:t>Customers[</w:t>
      </w:r>
      <w:proofErr w:type="gramEnd"/>
      <w:r w:rsidRPr="003D12BF">
        <w:t>CustomerID])</w:t>
      </w:r>
    </w:p>
    <w:p w14:paraId="4E5218AC" w14:textId="77777777" w:rsidR="003D12BF" w:rsidRPr="003D12BF" w:rsidRDefault="003D12BF" w:rsidP="003D12BF">
      <w:pPr>
        <w:numPr>
          <w:ilvl w:val="1"/>
          <w:numId w:val="6"/>
        </w:numPr>
      </w:pPr>
      <w:r w:rsidRPr="003D12BF">
        <w:t xml:space="preserve">Sales per Employee = </w:t>
      </w:r>
      <w:proofErr w:type="gramStart"/>
      <w:r w:rsidRPr="003D12BF">
        <w:t>DIVIDE(</w:t>
      </w:r>
      <w:proofErr w:type="gramEnd"/>
      <w:r w:rsidRPr="003D12BF">
        <w:t>[Total Sales], DISTINCTCOUNT(</w:t>
      </w:r>
      <w:proofErr w:type="gramStart"/>
      <w:r w:rsidRPr="003D12BF">
        <w:t>Employees[</w:t>
      </w:r>
      <w:proofErr w:type="spellStart"/>
      <w:proofErr w:type="gramEnd"/>
      <w:r w:rsidRPr="003D12BF">
        <w:t>EmployeeID</w:t>
      </w:r>
      <w:proofErr w:type="spellEnd"/>
      <w:r w:rsidRPr="003D12BF">
        <w:t>])) These measures will form the backbone of the dashboard's quantitative insights.</w:t>
      </w:r>
    </w:p>
    <w:p w14:paraId="3E894C56" w14:textId="77777777" w:rsidR="003D12BF" w:rsidRPr="003D12BF" w:rsidRDefault="003D12BF" w:rsidP="003D12BF">
      <w:pPr>
        <w:numPr>
          <w:ilvl w:val="0"/>
          <w:numId w:val="6"/>
        </w:numPr>
      </w:pPr>
      <w:r w:rsidRPr="003D12BF">
        <w:rPr>
          <w:b/>
          <w:bCs/>
        </w:rPr>
        <w:t>Visualizations</w:t>
      </w:r>
      <w:r w:rsidRPr="003D12BF">
        <w:t>: Interactive charts, maps, and slicers will be strategically placed on the Power BI dashboard pages to address all the analytical questions and provide a comprehensive view of the business. Each visualization will be chosen for its effectiveness in conveying specific information:</w:t>
      </w:r>
    </w:p>
    <w:p w14:paraId="34424E84" w14:textId="77777777" w:rsidR="003D12BF" w:rsidRPr="003D12BF" w:rsidRDefault="003D12BF" w:rsidP="003D12BF">
      <w:pPr>
        <w:numPr>
          <w:ilvl w:val="1"/>
          <w:numId w:val="6"/>
        </w:numPr>
      </w:pPr>
      <w:r w:rsidRPr="003D12BF">
        <w:rPr>
          <w:b/>
          <w:bCs/>
        </w:rPr>
        <w:t>Customer Analysis Visualizations:</w:t>
      </w:r>
    </w:p>
    <w:p w14:paraId="6ECAFE88" w14:textId="77777777" w:rsidR="003D12BF" w:rsidRPr="003D12BF" w:rsidRDefault="003D12BF" w:rsidP="003D12BF">
      <w:pPr>
        <w:numPr>
          <w:ilvl w:val="2"/>
          <w:numId w:val="6"/>
        </w:numPr>
      </w:pPr>
      <w:r w:rsidRPr="003D12BF">
        <w:rPr>
          <w:b/>
          <w:bCs/>
        </w:rPr>
        <w:t>Customer Distribution by Country/City:</w:t>
      </w:r>
      <w:r w:rsidRPr="003D12BF">
        <w:t xml:space="preserve"> A </w:t>
      </w:r>
      <w:r w:rsidRPr="003D12BF">
        <w:rPr>
          <w:b/>
          <w:bCs/>
        </w:rPr>
        <w:t>Map chart</w:t>
      </w:r>
      <w:r w:rsidRPr="003D12BF">
        <w:t xml:space="preserve"> or </w:t>
      </w:r>
      <w:r w:rsidRPr="003D12BF">
        <w:rPr>
          <w:b/>
          <w:bCs/>
        </w:rPr>
        <w:t>Bar chart</w:t>
      </w:r>
      <w:r w:rsidRPr="003D12BF">
        <w:t xml:space="preserve"> to visualize how customer distribution varies across different countries or cities. The map will intuitively show geographical concentration, while the bar chart will provide precise counts.</w:t>
      </w:r>
    </w:p>
    <w:p w14:paraId="7C93ACC6" w14:textId="77777777" w:rsidR="003D12BF" w:rsidRPr="003D12BF" w:rsidRDefault="003D12BF" w:rsidP="003D12BF">
      <w:pPr>
        <w:numPr>
          <w:ilvl w:val="2"/>
          <w:numId w:val="6"/>
        </w:numPr>
      </w:pPr>
      <w:r w:rsidRPr="003D12BF">
        <w:rPr>
          <w:b/>
          <w:bCs/>
        </w:rPr>
        <w:t>Customer Distribution by Contact Title or Region:</w:t>
      </w:r>
      <w:r w:rsidRPr="003D12BF">
        <w:t xml:space="preserve"> A </w:t>
      </w:r>
      <w:r w:rsidRPr="003D12BF">
        <w:rPr>
          <w:b/>
          <w:bCs/>
        </w:rPr>
        <w:t>Stacked Bar chart</w:t>
      </w:r>
      <w:r w:rsidRPr="003D12BF">
        <w:t xml:space="preserve"> or </w:t>
      </w:r>
      <w:r w:rsidRPr="003D12BF">
        <w:rPr>
          <w:b/>
          <w:bCs/>
        </w:rPr>
        <w:t>Pie chart</w:t>
      </w:r>
      <w:r w:rsidRPr="003D12BF">
        <w:t xml:space="preserve"> to illustrate the distribution of customers by Contact Title or Region. A pie chart is good for simple proportions, while a stacked bar chart can compare proportions across different categories or regions.</w:t>
      </w:r>
    </w:p>
    <w:p w14:paraId="4858346C" w14:textId="77777777" w:rsidR="003D12BF" w:rsidRPr="003D12BF" w:rsidRDefault="003D12BF" w:rsidP="003D12BF">
      <w:pPr>
        <w:numPr>
          <w:ilvl w:val="1"/>
          <w:numId w:val="6"/>
        </w:numPr>
      </w:pPr>
      <w:r w:rsidRPr="003D12BF">
        <w:rPr>
          <w:b/>
          <w:bCs/>
        </w:rPr>
        <w:lastRenderedPageBreak/>
        <w:t>Sales Analysis Visualizations:</w:t>
      </w:r>
    </w:p>
    <w:p w14:paraId="7ADFDCE3" w14:textId="77777777" w:rsidR="003D12BF" w:rsidRPr="003D12BF" w:rsidRDefault="003D12BF" w:rsidP="003D12BF">
      <w:pPr>
        <w:numPr>
          <w:ilvl w:val="2"/>
          <w:numId w:val="6"/>
        </w:numPr>
      </w:pPr>
      <w:r w:rsidRPr="003D12BF">
        <w:rPr>
          <w:b/>
          <w:bCs/>
        </w:rPr>
        <w:t>Trend in Customer Orders Over Time:</w:t>
      </w:r>
      <w:r w:rsidRPr="003D12BF">
        <w:t xml:space="preserve"> A </w:t>
      </w:r>
      <w:r w:rsidRPr="003D12BF">
        <w:rPr>
          <w:b/>
          <w:bCs/>
        </w:rPr>
        <w:t>Line chart</w:t>
      </w:r>
      <w:r w:rsidRPr="003D12BF">
        <w:t xml:space="preserve"> or </w:t>
      </w:r>
      <w:r w:rsidRPr="003D12BF">
        <w:rPr>
          <w:b/>
          <w:bCs/>
        </w:rPr>
        <w:t>Area chart</w:t>
      </w:r>
      <w:r w:rsidRPr="003D12BF">
        <w:t xml:space="preserve"> to visualize the trend in customer orders over time. This will clearly show seasonality, growth, or decline.</w:t>
      </w:r>
    </w:p>
    <w:p w14:paraId="7929DF81" w14:textId="77777777" w:rsidR="003D12BF" w:rsidRPr="003D12BF" w:rsidRDefault="003D12BF" w:rsidP="003D12BF">
      <w:pPr>
        <w:numPr>
          <w:ilvl w:val="2"/>
          <w:numId w:val="6"/>
        </w:numPr>
      </w:pPr>
      <w:r w:rsidRPr="003D12BF">
        <w:rPr>
          <w:b/>
          <w:bCs/>
        </w:rPr>
        <w:t>Order Volume Change Over Time:</w:t>
      </w:r>
      <w:r w:rsidRPr="003D12BF">
        <w:t xml:space="preserve"> A </w:t>
      </w:r>
      <w:r w:rsidRPr="003D12BF">
        <w:rPr>
          <w:b/>
          <w:bCs/>
        </w:rPr>
        <w:t>Line chart</w:t>
      </w:r>
      <w:r w:rsidRPr="003D12BF">
        <w:t xml:space="preserve"> or </w:t>
      </w:r>
      <w:r w:rsidRPr="003D12BF">
        <w:rPr>
          <w:b/>
          <w:bCs/>
        </w:rPr>
        <w:t>Stacked Bar chart</w:t>
      </w:r>
      <w:r w:rsidRPr="003D12BF">
        <w:t xml:space="preserve"> to visualize how order volume changes over time. A stacked bar chart can also show different components of order volume if applicable (e.g., by product category).</w:t>
      </w:r>
    </w:p>
    <w:p w14:paraId="56705F8F" w14:textId="77777777" w:rsidR="003D12BF" w:rsidRPr="003D12BF" w:rsidRDefault="003D12BF" w:rsidP="003D12BF">
      <w:pPr>
        <w:numPr>
          <w:ilvl w:val="2"/>
          <w:numId w:val="6"/>
        </w:numPr>
      </w:pPr>
      <w:r w:rsidRPr="003D12BF">
        <w:rPr>
          <w:b/>
          <w:bCs/>
        </w:rPr>
        <w:t>Distribution of Order Values:</w:t>
      </w:r>
      <w:r w:rsidRPr="003D12BF">
        <w:t xml:space="preserve"> A </w:t>
      </w:r>
      <w:r w:rsidRPr="003D12BF">
        <w:rPr>
          <w:b/>
          <w:bCs/>
        </w:rPr>
        <w:t>Histogram</w:t>
      </w:r>
      <w:r w:rsidRPr="003D12BF">
        <w:t xml:space="preserve"> or </w:t>
      </w:r>
      <w:r w:rsidRPr="003D12BF">
        <w:rPr>
          <w:b/>
          <w:bCs/>
        </w:rPr>
        <w:t>Box plot</w:t>
      </w:r>
      <w:r w:rsidRPr="003D12BF">
        <w:t xml:space="preserve"> to visualize the distribution of order values. A histogram will show the frequency of different order value ranges, while a box plot will highlight quartiles, median, and outliers.</w:t>
      </w:r>
    </w:p>
    <w:p w14:paraId="300EC8FE" w14:textId="31661358" w:rsidR="003D12BF" w:rsidRPr="003D12BF" w:rsidRDefault="003D12BF" w:rsidP="003D12BF">
      <w:pPr>
        <w:numPr>
          <w:ilvl w:val="2"/>
          <w:numId w:val="6"/>
        </w:numPr>
      </w:pPr>
      <w:r w:rsidRPr="003D12BF">
        <w:rPr>
          <w:b/>
          <w:bCs/>
        </w:rPr>
        <w:t>Highest Sales Volume Products:</w:t>
      </w:r>
      <w:r w:rsidRPr="003D12BF">
        <w:t xml:space="preserve"> A </w:t>
      </w:r>
      <w:r w:rsidRPr="003D12BF">
        <w:rPr>
          <w:b/>
          <w:bCs/>
        </w:rPr>
        <w:t>Bar chart</w:t>
      </w:r>
      <w:r w:rsidRPr="003D12BF">
        <w:t xml:space="preserve"> or </w:t>
      </w:r>
      <w:r w:rsidR="00A64410" w:rsidRPr="003D12BF">
        <w:rPr>
          <w:b/>
          <w:bCs/>
        </w:rPr>
        <w:t>Tree map</w:t>
      </w:r>
      <w:r w:rsidRPr="003D12BF">
        <w:t xml:space="preserve"> to identify which products have the highest sales volume. A </w:t>
      </w:r>
      <w:r w:rsidR="00A64410" w:rsidRPr="003D12BF">
        <w:t>tree map</w:t>
      </w:r>
      <w:r w:rsidRPr="003D12BF">
        <w:t xml:space="preserve"> is excellent for showing hierarchical data with size representing volume.</w:t>
      </w:r>
    </w:p>
    <w:p w14:paraId="42417C29" w14:textId="634C451E" w:rsidR="003D12BF" w:rsidRPr="003D12BF" w:rsidRDefault="003D12BF" w:rsidP="003D12BF">
      <w:pPr>
        <w:numPr>
          <w:ilvl w:val="2"/>
          <w:numId w:val="6"/>
        </w:numPr>
      </w:pPr>
      <w:r w:rsidRPr="003D12BF">
        <w:rPr>
          <w:b/>
          <w:bCs/>
        </w:rPr>
        <w:t>Sales Volume Across Product Categories:</w:t>
      </w:r>
      <w:r w:rsidRPr="003D12BF">
        <w:t xml:space="preserve"> A </w:t>
      </w:r>
      <w:r w:rsidRPr="003D12BF">
        <w:rPr>
          <w:b/>
          <w:bCs/>
        </w:rPr>
        <w:t>Stacked Bar chart</w:t>
      </w:r>
      <w:r w:rsidRPr="003D12BF">
        <w:t xml:space="preserve"> or </w:t>
      </w:r>
      <w:r w:rsidR="00A64410" w:rsidRPr="003D12BF">
        <w:rPr>
          <w:b/>
          <w:bCs/>
        </w:rPr>
        <w:t>Tree map</w:t>
      </w:r>
      <w:r w:rsidRPr="003D12BF">
        <w:t xml:space="preserve"> to visualize how sales volume varies across different product categories. This will show the contribution of each category to total sales.</w:t>
      </w:r>
    </w:p>
    <w:p w14:paraId="6544FA19" w14:textId="77777777" w:rsidR="003D12BF" w:rsidRPr="003D12BF" w:rsidRDefault="003D12BF" w:rsidP="003D12BF">
      <w:pPr>
        <w:numPr>
          <w:ilvl w:val="2"/>
          <w:numId w:val="6"/>
        </w:numPr>
      </w:pPr>
      <w:r w:rsidRPr="003D12BF">
        <w:rPr>
          <w:b/>
          <w:bCs/>
        </w:rPr>
        <w:t>Pricing Distribution of Products:</w:t>
      </w:r>
      <w:r w:rsidRPr="003D12BF">
        <w:t xml:space="preserve"> A </w:t>
      </w:r>
      <w:r w:rsidRPr="003D12BF">
        <w:rPr>
          <w:b/>
          <w:bCs/>
        </w:rPr>
        <w:t>Box plot</w:t>
      </w:r>
      <w:r w:rsidRPr="003D12BF">
        <w:t xml:space="preserve"> or </w:t>
      </w:r>
      <w:r w:rsidRPr="003D12BF">
        <w:rPr>
          <w:b/>
          <w:bCs/>
        </w:rPr>
        <w:t>Histogram</w:t>
      </w:r>
      <w:r w:rsidRPr="003D12BF">
        <w:t xml:space="preserve"> to visualize the pricing distribution of products. This helps understand the spread and central tendency of product prices.</w:t>
      </w:r>
    </w:p>
    <w:p w14:paraId="223B7CAE" w14:textId="77777777" w:rsidR="003D12BF" w:rsidRPr="003D12BF" w:rsidRDefault="003D12BF" w:rsidP="003D12BF">
      <w:pPr>
        <w:numPr>
          <w:ilvl w:val="1"/>
          <w:numId w:val="6"/>
        </w:numPr>
      </w:pPr>
      <w:r w:rsidRPr="003D12BF">
        <w:rPr>
          <w:b/>
          <w:bCs/>
        </w:rPr>
        <w:t>Employee Analysis Visualizations:</w:t>
      </w:r>
    </w:p>
    <w:p w14:paraId="5F2AF2C1" w14:textId="77777777" w:rsidR="003D12BF" w:rsidRPr="003D12BF" w:rsidRDefault="003D12BF" w:rsidP="003D12BF">
      <w:pPr>
        <w:numPr>
          <w:ilvl w:val="2"/>
          <w:numId w:val="6"/>
        </w:numPr>
      </w:pPr>
      <w:r w:rsidRPr="003D12BF">
        <w:rPr>
          <w:b/>
          <w:bCs/>
        </w:rPr>
        <w:t>Count of Employees by Job Title or Region:</w:t>
      </w:r>
      <w:r w:rsidRPr="003D12BF">
        <w:t xml:space="preserve"> A </w:t>
      </w:r>
      <w:r w:rsidRPr="003D12BF">
        <w:rPr>
          <w:b/>
          <w:bCs/>
        </w:rPr>
        <w:t>Stacked Bar chart</w:t>
      </w:r>
      <w:r w:rsidRPr="003D12BF">
        <w:t xml:space="preserve"> or </w:t>
      </w:r>
      <w:proofErr w:type="spellStart"/>
      <w:r w:rsidRPr="003D12BF">
        <w:rPr>
          <w:b/>
          <w:bCs/>
        </w:rPr>
        <w:t>Treemap</w:t>
      </w:r>
      <w:proofErr w:type="spellEnd"/>
      <w:r w:rsidRPr="003D12BF">
        <w:t xml:space="preserve"> to visualize the count of employees by job title or region. This helps understand workforce distribution.</w:t>
      </w:r>
    </w:p>
    <w:p w14:paraId="0DAFC443" w14:textId="77777777" w:rsidR="003D12BF" w:rsidRPr="003D12BF" w:rsidRDefault="003D12BF" w:rsidP="003D12BF">
      <w:pPr>
        <w:numPr>
          <w:ilvl w:val="2"/>
          <w:numId w:val="6"/>
        </w:numPr>
      </w:pPr>
      <w:r w:rsidRPr="003D12BF">
        <w:rPr>
          <w:b/>
          <w:bCs/>
        </w:rPr>
        <w:t>Distribution of Employee Tenure:</w:t>
      </w:r>
      <w:r w:rsidRPr="003D12BF">
        <w:t xml:space="preserve"> A </w:t>
      </w:r>
      <w:r w:rsidRPr="003D12BF">
        <w:rPr>
          <w:b/>
          <w:bCs/>
        </w:rPr>
        <w:t>Histogram</w:t>
      </w:r>
      <w:r w:rsidRPr="003D12BF">
        <w:t xml:space="preserve"> or </w:t>
      </w:r>
      <w:r w:rsidRPr="003D12BF">
        <w:rPr>
          <w:b/>
          <w:bCs/>
        </w:rPr>
        <w:t>Box plot</w:t>
      </w:r>
      <w:r w:rsidRPr="003D12BF">
        <w:t xml:space="preserve"> to visualize the distribution of employee tenure. This provides insights into employee retention.</w:t>
      </w:r>
    </w:p>
    <w:p w14:paraId="2B08F244" w14:textId="77777777" w:rsidR="003D12BF" w:rsidRPr="003D12BF" w:rsidRDefault="003D12BF" w:rsidP="003D12BF">
      <w:pPr>
        <w:numPr>
          <w:ilvl w:val="2"/>
          <w:numId w:val="6"/>
        </w:numPr>
      </w:pPr>
      <w:r w:rsidRPr="003D12BF">
        <w:rPr>
          <w:b/>
          <w:bCs/>
        </w:rPr>
        <w:t>Reporting Structure Among Employees:</w:t>
      </w:r>
      <w:r w:rsidRPr="003D12BF">
        <w:t xml:space="preserve"> An </w:t>
      </w:r>
      <w:r w:rsidRPr="003D12BF">
        <w:rPr>
          <w:b/>
          <w:bCs/>
        </w:rPr>
        <w:t>Org chart</w:t>
      </w:r>
      <w:r w:rsidRPr="003D12BF">
        <w:t xml:space="preserve"> or </w:t>
      </w:r>
      <w:r w:rsidRPr="003D12BF">
        <w:rPr>
          <w:b/>
          <w:bCs/>
        </w:rPr>
        <w:t>Hierarchical tree</w:t>
      </w:r>
      <w:r w:rsidRPr="003D12BF">
        <w:t xml:space="preserve"> to visualize the reporting structure among employees. This provides a clear overview of the organizational hierarchy.</w:t>
      </w:r>
    </w:p>
    <w:p w14:paraId="1142EFD3" w14:textId="77777777" w:rsidR="003D12BF" w:rsidRPr="003D12BF" w:rsidRDefault="003D12BF" w:rsidP="003D12BF">
      <w:pPr>
        <w:numPr>
          <w:ilvl w:val="1"/>
          <w:numId w:val="6"/>
        </w:numPr>
      </w:pPr>
      <w:r w:rsidRPr="003D12BF">
        <w:rPr>
          <w:b/>
          <w:bCs/>
        </w:rPr>
        <w:t>Order and Shipping Analysis Visualizations:</w:t>
      </w:r>
    </w:p>
    <w:p w14:paraId="4FF73251" w14:textId="77777777" w:rsidR="003D12BF" w:rsidRPr="003D12BF" w:rsidRDefault="003D12BF" w:rsidP="003D12BF">
      <w:pPr>
        <w:numPr>
          <w:ilvl w:val="2"/>
          <w:numId w:val="6"/>
        </w:numPr>
      </w:pPr>
      <w:r w:rsidRPr="003D12BF">
        <w:rPr>
          <w:b/>
          <w:bCs/>
        </w:rPr>
        <w:t>Average Order Shipping Duration:</w:t>
      </w:r>
      <w:r w:rsidRPr="003D12BF">
        <w:t xml:space="preserve"> A </w:t>
      </w:r>
      <w:r w:rsidRPr="003D12BF">
        <w:rPr>
          <w:b/>
          <w:bCs/>
        </w:rPr>
        <w:t>Bar chart</w:t>
      </w:r>
      <w:r w:rsidRPr="003D12BF">
        <w:t xml:space="preserve"> or </w:t>
      </w:r>
      <w:r w:rsidRPr="003D12BF">
        <w:rPr>
          <w:b/>
          <w:bCs/>
        </w:rPr>
        <w:t>Box plot</w:t>
      </w:r>
      <w:r w:rsidRPr="003D12BF">
        <w:t xml:space="preserve"> to visualize the average order shipping duration. This helps in assessing logistics efficiency.</w:t>
      </w:r>
    </w:p>
    <w:p w14:paraId="59521DE6" w14:textId="77777777" w:rsidR="003D12BF" w:rsidRPr="003D12BF" w:rsidRDefault="003D12BF" w:rsidP="003D12BF">
      <w:pPr>
        <w:numPr>
          <w:ilvl w:val="1"/>
          <w:numId w:val="6"/>
        </w:numPr>
      </w:pPr>
      <w:r w:rsidRPr="003D12BF">
        <w:rPr>
          <w:b/>
          <w:bCs/>
        </w:rPr>
        <w:t>Supply Analysis Visualizations:</w:t>
      </w:r>
    </w:p>
    <w:p w14:paraId="3E51DD8B" w14:textId="77777777" w:rsidR="003D12BF" w:rsidRPr="003D12BF" w:rsidRDefault="003D12BF" w:rsidP="003D12BF">
      <w:pPr>
        <w:numPr>
          <w:ilvl w:val="2"/>
          <w:numId w:val="6"/>
        </w:numPr>
      </w:pPr>
      <w:r w:rsidRPr="003D12BF">
        <w:rPr>
          <w:b/>
          <w:bCs/>
        </w:rPr>
        <w:t>Products Supplied by Each Supplier:</w:t>
      </w:r>
      <w:r w:rsidRPr="003D12BF">
        <w:t xml:space="preserve"> A </w:t>
      </w:r>
      <w:r w:rsidRPr="003D12BF">
        <w:rPr>
          <w:b/>
          <w:bCs/>
        </w:rPr>
        <w:t>Bar chart</w:t>
      </w:r>
      <w:r w:rsidRPr="003D12BF">
        <w:t xml:space="preserve"> or </w:t>
      </w:r>
      <w:r w:rsidRPr="003D12BF">
        <w:rPr>
          <w:b/>
          <w:bCs/>
        </w:rPr>
        <w:t>Pie chart</w:t>
      </w:r>
      <w:r w:rsidRPr="003D12BF">
        <w:t xml:space="preserve"> to visualize how many products are supplied by each supplier.</w:t>
      </w:r>
    </w:p>
    <w:p w14:paraId="65ACE0EE" w14:textId="77777777" w:rsidR="003D12BF" w:rsidRPr="003D12BF" w:rsidRDefault="003D12BF" w:rsidP="003D12BF">
      <w:pPr>
        <w:numPr>
          <w:ilvl w:val="2"/>
          <w:numId w:val="6"/>
        </w:numPr>
      </w:pPr>
      <w:r w:rsidRPr="003D12BF">
        <w:rPr>
          <w:b/>
          <w:bCs/>
        </w:rPr>
        <w:t>Product Pricing Variation Across Suppliers:</w:t>
      </w:r>
      <w:r w:rsidRPr="003D12BF">
        <w:t xml:space="preserve"> A </w:t>
      </w:r>
      <w:r w:rsidRPr="003D12BF">
        <w:rPr>
          <w:b/>
          <w:bCs/>
        </w:rPr>
        <w:t>Box plot</w:t>
      </w:r>
      <w:r w:rsidRPr="003D12BF">
        <w:t xml:space="preserve"> or </w:t>
      </w:r>
      <w:r w:rsidRPr="003D12BF">
        <w:rPr>
          <w:b/>
          <w:bCs/>
        </w:rPr>
        <w:t>Stacked Column chart</w:t>
      </w:r>
      <w:r w:rsidRPr="003D12BF">
        <w:t xml:space="preserve"> to visualize how product pricing varies across different suppliers. A box </w:t>
      </w:r>
      <w:r w:rsidRPr="003D12BF">
        <w:lastRenderedPageBreak/>
        <w:t>plot can show the range of prices from each supplier, while a stacked column chart can compare average prices across suppliers for different categories.</w:t>
      </w:r>
    </w:p>
    <w:p w14:paraId="343DF695" w14:textId="77777777" w:rsidR="003D12BF" w:rsidRPr="003D12BF" w:rsidRDefault="003D12BF" w:rsidP="003D12BF">
      <w:pPr>
        <w:numPr>
          <w:ilvl w:val="2"/>
          <w:numId w:val="6"/>
        </w:numPr>
      </w:pPr>
      <w:r w:rsidRPr="003D12BF">
        <w:rPr>
          <w:b/>
          <w:bCs/>
        </w:rPr>
        <w:t>Geographical Distribution of Suppliers:</w:t>
      </w:r>
      <w:r w:rsidRPr="003D12BF">
        <w:t xml:space="preserve"> A </w:t>
      </w:r>
      <w:r w:rsidRPr="003D12BF">
        <w:rPr>
          <w:b/>
          <w:bCs/>
        </w:rPr>
        <w:t>Map chart</w:t>
      </w:r>
      <w:r w:rsidRPr="003D12BF">
        <w:t xml:space="preserve"> or </w:t>
      </w:r>
      <w:r w:rsidRPr="003D12BF">
        <w:rPr>
          <w:b/>
          <w:bCs/>
        </w:rPr>
        <w:t>Bubble map</w:t>
      </w:r>
      <w:r w:rsidRPr="003D12BF">
        <w:t xml:space="preserve"> to visualize the geographical distribution of suppliers. This is crucial for supply chain risk assessment and optimization.</w:t>
      </w:r>
    </w:p>
    <w:p w14:paraId="48299017" w14:textId="77777777" w:rsidR="003D12BF" w:rsidRPr="003D12BF" w:rsidRDefault="003D12BF" w:rsidP="003D12BF">
      <w:pPr>
        <w:numPr>
          <w:ilvl w:val="0"/>
          <w:numId w:val="6"/>
        </w:numPr>
      </w:pPr>
      <w:r w:rsidRPr="003D12BF">
        <w:rPr>
          <w:b/>
          <w:bCs/>
        </w:rPr>
        <w:t>Dashboard Insights</w:t>
      </w:r>
      <w:r w:rsidRPr="003D12BF">
        <w:t>: Each Power BI dashboard will include dedicated sections or text boxes to highlight the key findings, trends, and anomalies observed from the visualizations. These insights will be concise and directly actionable.</w:t>
      </w:r>
    </w:p>
    <w:p w14:paraId="7D8993A6" w14:textId="77777777" w:rsidR="003D12BF" w:rsidRPr="003D12BF" w:rsidRDefault="003D12BF" w:rsidP="003D12BF">
      <w:r w:rsidRPr="003D12BF">
        <w:rPr>
          <w:b/>
          <w:bCs/>
        </w:rPr>
        <w:t>6. Insights &amp; Recommendations</w:t>
      </w:r>
    </w:p>
    <w:p w14:paraId="21F24A95" w14:textId="77777777" w:rsidR="003D12BF" w:rsidRPr="003D12BF" w:rsidRDefault="003D12BF" w:rsidP="003D12BF">
      <w:r w:rsidRPr="003D12BF">
        <w:t>This section will synthesize all the findings from the SQL, Excel, and Power BI analyses, presenting them as actionable insights and concrete recommendations.</w:t>
      </w:r>
    </w:p>
    <w:p w14:paraId="6723F298" w14:textId="77777777" w:rsidR="003D12BF" w:rsidRPr="003D12BF" w:rsidRDefault="003D12BF" w:rsidP="003D12BF">
      <w:pPr>
        <w:numPr>
          <w:ilvl w:val="0"/>
          <w:numId w:val="7"/>
        </w:numPr>
      </w:pPr>
      <w:r w:rsidRPr="003D12BF">
        <w:rPr>
          <w:b/>
          <w:bCs/>
        </w:rPr>
        <w:t>Customer Analysis:</w:t>
      </w:r>
    </w:p>
    <w:p w14:paraId="691EA176" w14:textId="77777777" w:rsidR="003D12BF" w:rsidRPr="003D12BF" w:rsidRDefault="003D12BF" w:rsidP="003D12BF">
      <w:pPr>
        <w:numPr>
          <w:ilvl w:val="1"/>
          <w:numId w:val="7"/>
        </w:numPr>
      </w:pPr>
      <w:r w:rsidRPr="003D12BF">
        <w:rPr>
          <w:b/>
          <w:bCs/>
        </w:rPr>
        <w:t>Insight:</w:t>
      </w:r>
      <w:r w:rsidRPr="003D12BF">
        <w:t xml:space="preserve"> Top customers are heavily concentrated in Germany and the USA, contributing a significant portion of overall revenue. Analysis of contact titles shows "Sales Representative" and "Owner" are key contacts.</w:t>
      </w:r>
    </w:p>
    <w:p w14:paraId="57250974" w14:textId="77777777" w:rsidR="003D12BF" w:rsidRPr="003D12BF" w:rsidRDefault="003D12BF" w:rsidP="003D12BF">
      <w:pPr>
        <w:numPr>
          <w:ilvl w:val="1"/>
          <w:numId w:val="7"/>
        </w:numPr>
      </w:pPr>
      <w:r w:rsidRPr="003D12BF">
        <w:rPr>
          <w:b/>
          <w:bCs/>
        </w:rPr>
        <w:t>Recommendation:</w:t>
      </w:r>
      <w:r w:rsidRPr="003D12BF">
        <w:t xml:space="preserve"> Develop targeted loyalty programs and marketing campaigns specifically for customers in Germany and the USA. Consider personalized communication strategies based on Contact Title to enhance customer relationships and retention. Explore opportunities for expansion into underserved regions with potential customer bases.</w:t>
      </w:r>
    </w:p>
    <w:p w14:paraId="42E87BF6" w14:textId="77777777" w:rsidR="003D12BF" w:rsidRPr="003D12BF" w:rsidRDefault="003D12BF" w:rsidP="003D12BF">
      <w:pPr>
        <w:numPr>
          <w:ilvl w:val="0"/>
          <w:numId w:val="7"/>
        </w:numPr>
      </w:pPr>
      <w:r w:rsidRPr="003D12BF">
        <w:rPr>
          <w:b/>
          <w:bCs/>
        </w:rPr>
        <w:t>Sales Analysis:</w:t>
      </w:r>
    </w:p>
    <w:p w14:paraId="6BE85785" w14:textId="77777777" w:rsidR="003D12BF" w:rsidRPr="003D12BF" w:rsidRDefault="003D12BF" w:rsidP="003D12BF">
      <w:pPr>
        <w:numPr>
          <w:ilvl w:val="1"/>
          <w:numId w:val="7"/>
        </w:numPr>
      </w:pPr>
      <w:r w:rsidRPr="003D12BF">
        <w:rPr>
          <w:b/>
          <w:bCs/>
        </w:rPr>
        <w:t>Insight:</w:t>
      </w:r>
      <w:r w:rsidRPr="003D12BF">
        <w:t xml:space="preserve"> Beverages and Dairy Products consistently generate the highest revenue and sales volume, indicating strong market demand. There are identifiable seasonal spikes in order volume, particularly during specific months or quarters. The distribution of order values shows a skewed pattern, with a few high-value orders significantly contributing to total revenue.</w:t>
      </w:r>
    </w:p>
    <w:p w14:paraId="4B726A46" w14:textId="77777777" w:rsidR="003D12BF" w:rsidRPr="003D12BF" w:rsidRDefault="003D12BF" w:rsidP="003D12BF">
      <w:pPr>
        <w:numPr>
          <w:ilvl w:val="1"/>
          <w:numId w:val="7"/>
        </w:numPr>
      </w:pPr>
      <w:r w:rsidRPr="003D12BF">
        <w:rPr>
          <w:b/>
          <w:bCs/>
        </w:rPr>
        <w:t>Recommendation:</w:t>
      </w:r>
      <w:r w:rsidRPr="003D12BF">
        <w:t xml:space="preserve"> Focus promotional campaigns and inventory stocking efforts on high-performing categories like Beverages and Dairy products. Implement a dynamic inventory management system to anticipate and prepare for seasonal spikes in order volume. Identify and nurture high-value customers with personalized offers or premium services to maximize revenue from large orders.</w:t>
      </w:r>
    </w:p>
    <w:p w14:paraId="7F63DB10" w14:textId="77777777" w:rsidR="003D12BF" w:rsidRPr="003D12BF" w:rsidRDefault="003D12BF" w:rsidP="003D12BF">
      <w:pPr>
        <w:numPr>
          <w:ilvl w:val="0"/>
          <w:numId w:val="7"/>
        </w:numPr>
      </w:pPr>
      <w:r w:rsidRPr="003D12BF">
        <w:rPr>
          <w:b/>
          <w:bCs/>
        </w:rPr>
        <w:t>Employee Analysis:</w:t>
      </w:r>
    </w:p>
    <w:p w14:paraId="34D7FAA3" w14:textId="7695309B" w:rsidR="003D12BF" w:rsidRPr="003D12BF" w:rsidRDefault="003D12BF" w:rsidP="003D12BF">
      <w:pPr>
        <w:numPr>
          <w:ilvl w:val="1"/>
          <w:numId w:val="7"/>
        </w:numPr>
      </w:pPr>
      <w:r w:rsidRPr="003D12BF">
        <w:rPr>
          <w:b/>
          <w:bCs/>
        </w:rPr>
        <w:t>Insight:</w:t>
      </w:r>
      <w:r w:rsidRPr="003D12BF">
        <w:t xml:space="preserve"> Analysis reveals that a few employees consistently handle a major portion of sales, while others may be underperforming or have lower sales contributions. The distribution of employee tenure shows a varied range, potentially indicating different levels of experience within the sales team. The organizational chart clearly defines reporting </w:t>
      </w:r>
      <w:r w:rsidR="00A64410" w:rsidRPr="003D12BF">
        <w:t>lines but</w:t>
      </w:r>
      <w:r w:rsidRPr="003D12BF">
        <w:t xml:space="preserve"> also highlights areas where sales responsibilities might be unevenly distributed.</w:t>
      </w:r>
    </w:p>
    <w:p w14:paraId="5CB70293" w14:textId="77777777" w:rsidR="003D12BF" w:rsidRPr="003D12BF" w:rsidRDefault="003D12BF" w:rsidP="003D12BF">
      <w:pPr>
        <w:numPr>
          <w:ilvl w:val="1"/>
          <w:numId w:val="7"/>
        </w:numPr>
      </w:pPr>
      <w:r w:rsidRPr="003D12BF">
        <w:rPr>
          <w:b/>
          <w:bCs/>
        </w:rPr>
        <w:t>Recommendation:</w:t>
      </w:r>
      <w:r w:rsidRPr="003D12BF">
        <w:t xml:space="preserve"> Implement targeted training programs for underperforming staff to enhance their sales skills and product knowledge. Establish clear performance </w:t>
      </w:r>
      <w:r w:rsidRPr="003D12BF">
        <w:lastRenderedPageBreak/>
        <w:t>benchmarks and incentive programs to motivate all employees. Consider rebalancing sales territories or customer assignments to optimize employee productivity.</w:t>
      </w:r>
    </w:p>
    <w:p w14:paraId="73EAA68D" w14:textId="77777777" w:rsidR="003D12BF" w:rsidRPr="003D12BF" w:rsidRDefault="003D12BF" w:rsidP="003D12BF">
      <w:pPr>
        <w:numPr>
          <w:ilvl w:val="0"/>
          <w:numId w:val="7"/>
        </w:numPr>
      </w:pPr>
      <w:r w:rsidRPr="003D12BF">
        <w:rPr>
          <w:b/>
          <w:bCs/>
        </w:rPr>
        <w:t>Order Analysis:</w:t>
      </w:r>
    </w:p>
    <w:p w14:paraId="0C0477AC" w14:textId="77777777" w:rsidR="003D12BF" w:rsidRPr="003D12BF" w:rsidRDefault="003D12BF" w:rsidP="003D12BF">
      <w:pPr>
        <w:numPr>
          <w:ilvl w:val="1"/>
          <w:numId w:val="7"/>
        </w:numPr>
      </w:pPr>
      <w:r w:rsidRPr="003D12BF">
        <w:rPr>
          <w:b/>
          <w:bCs/>
        </w:rPr>
        <w:t>Insight:</w:t>
      </w:r>
      <w:r w:rsidRPr="003D12BF">
        <w:t xml:space="preserve"> The trend in customer orders over time shows consistent growth but also highlights periods of slower activity. The average order shipping duration varies significantly across different regions or product types, impacting customer satisfaction.</w:t>
      </w:r>
    </w:p>
    <w:p w14:paraId="226FAC1F" w14:textId="417F37EA" w:rsidR="003D12BF" w:rsidRPr="003D12BF" w:rsidRDefault="003D12BF" w:rsidP="003D12BF">
      <w:pPr>
        <w:numPr>
          <w:ilvl w:val="1"/>
          <w:numId w:val="7"/>
        </w:numPr>
      </w:pPr>
      <w:r w:rsidRPr="003D12BF">
        <w:rPr>
          <w:b/>
          <w:bCs/>
        </w:rPr>
        <w:t>Recommendation:</w:t>
      </w:r>
      <w:r w:rsidRPr="003D12BF">
        <w:t xml:space="preserve"> </w:t>
      </w:r>
      <w:r w:rsidR="00A64410" w:rsidRPr="003D12BF">
        <w:t>Analyse</w:t>
      </w:r>
      <w:r w:rsidRPr="003D12BF">
        <w:t xml:space="preserve"> the factors contributing to periods of slower order activity and develop strategies (e.g., targeted promotions) to stabilize demand. Investigate the causes of longer shipping durations in specific areas and implement logistical improvements to reduce delivery times and enhance customer experience.</w:t>
      </w:r>
    </w:p>
    <w:p w14:paraId="312AE24D" w14:textId="77777777" w:rsidR="003D12BF" w:rsidRPr="003D12BF" w:rsidRDefault="003D12BF" w:rsidP="003D12BF">
      <w:pPr>
        <w:numPr>
          <w:ilvl w:val="0"/>
          <w:numId w:val="7"/>
        </w:numPr>
      </w:pPr>
      <w:r w:rsidRPr="003D12BF">
        <w:rPr>
          <w:b/>
          <w:bCs/>
        </w:rPr>
        <w:t>Supply Analysis:</w:t>
      </w:r>
    </w:p>
    <w:p w14:paraId="553870EC" w14:textId="005D0616" w:rsidR="003D12BF" w:rsidRPr="003D12BF" w:rsidRDefault="003D12BF" w:rsidP="003D12BF">
      <w:pPr>
        <w:numPr>
          <w:ilvl w:val="1"/>
          <w:numId w:val="7"/>
        </w:numPr>
      </w:pPr>
      <w:r w:rsidRPr="003D12BF">
        <w:rPr>
          <w:b/>
          <w:bCs/>
        </w:rPr>
        <w:t>Insight:</w:t>
      </w:r>
      <w:r w:rsidRPr="003D12BF">
        <w:t xml:space="preserve"> Germany and France have consistently higher supplier pricing for certain product categories compared to other regions. The geographical distribution of suppliers shows a concentration in certain countries, potentially leading to supply chain risks. Some suppliers provide </w:t>
      </w:r>
      <w:r w:rsidR="00A64410" w:rsidRPr="003D12BF">
        <w:t>many</w:t>
      </w:r>
      <w:r w:rsidRPr="003D12BF">
        <w:t xml:space="preserve"> diverse products, while others specialize.</w:t>
      </w:r>
    </w:p>
    <w:p w14:paraId="7150FC7A" w14:textId="77777777" w:rsidR="003D12BF" w:rsidRPr="003D12BF" w:rsidRDefault="003D12BF" w:rsidP="003D12BF">
      <w:pPr>
        <w:numPr>
          <w:ilvl w:val="1"/>
          <w:numId w:val="7"/>
        </w:numPr>
      </w:pPr>
      <w:r w:rsidRPr="003D12BF">
        <w:rPr>
          <w:b/>
          <w:bCs/>
        </w:rPr>
        <w:t>Recommendation:</w:t>
      </w:r>
      <w:r w:rsidRPr="003D12BF">
        <w:t xml:space="preserve"> Prioritize negotiations with suppliers in Germany and France to secure better deals or actively seek alternative suppliers in these regions to reduce procurement costs. Diversify the supplier base to mitigate risks associated with geographical concentration. Leverage relationships with high-volume, diverse suppliers for bulk discounts and streamlined procurement processes.</w:t>
      </w:r>
    </w:p>
    <w:p w14:paraId="4AF2BFFE" w14:textId="77777777" w:rsidR="003D12BF" w:rsidRPr="003D12BF" w:rsidRDefault="003D12BF" w:rsidP="003D12BF">
      <w:r w:rsidRPr="003D12BF">
        <w:rPr>
          <w:b/>
          <w:bCs/>
        </w:rPr>
        <w:t>7. Visual Snippets</w:t>
      </w:r>
    </w:p>
    <w:p w14:paraId="5DBC4DDC" w14:textId="77777777" w:rsidR="003D12BF" w:rsidRPr="003D12BF" w:rsidRDefault="003D12BF" w:rsidP="003D12BF">
      <w:r w:rsidRPr="003D12BF">
        <w:t>(This section will include actual screenshots and brief descriptions of the key visuals generated during the project. This would demonstrate the practical application of the methodology. For a textual report, I will describe what these snippets would show.)</w:t>
      </w:r>
    </w:p>
    <w:p w14:paraId="1C03E1EB" w14:textId="77777777" w:rsidR="003D12BF" w:rsidRPr="003D12BF" w:rsidRDefault="003D12BF" w:rsidP="003D12BF">
      <w:pPr>
        <w:numPr>
          <w:ilvl w:val="0"/>
          <w:numId w:val="8"/>
        </w:numPr>
      </w:pPr>
      <w:r w:rsidRPr="003D12BF">
        <w:rPr>
          <w:b/>
          <w:bCs/>
        </w:rPr>
        <w:t>SQL Query Result Snippet:</w:t>
      </w:r>
      <w:r w:rsidRPr="003D12BF">
        <w:t xml:space="preserve"> A screenshot showcasing a sample SQL query result set (e.g., the output of the "Total Customers by Country" query) to demonstrate initial data aggregation.</w:t>
      </w:r>
    </w:p>
    <w:p w14:paraId="5BFEA48C" w14:textId="77777777" w:rsidR="003D12BF" w:rsidRPr="003D12BF" w:rsidRDefault="003D12BF" w:rsidP="003D12BF">
      <w:pPr>
        <w:numPr>
          <w:ilvl w:val="0"/>
          <w:numId w:val="8"/>
        </w:numPr>
      </w:pPr>
      <w:r w:rsidRPr="003D12BF">
        <w:rPr>
          <w:b/>
          <w:bCs/>
        </w:rPr>
        <w:t>Excel Pivot Table Snippet:</w:t>
      </w:r>
      <w:r w:rsidRPr="003D12BF">
        <w:t xml:space="preserve"> A screenshot of an Excel pivot table summarizing sales by product category and year, demonstrating the flexibility of Excel for ad-hoc analysis.</w:t>
      </w:r>
    </w:p>
    <w:p w14:paraId="52FB8732" w14:textId="77777777" w:rsidR="003D12BF" w:rsidRPr="003D12BF" w:rsidRDefault="003D12BF" w:rsidP="003D12BF">
      <w:pPr>
        <w:numPr>
          <w:ilvl w:val="0"/>
          <w:numId w:val="8"/>
        </w:numPr>
      </w:pPr>
      <w:r w:rsidRPr="003D12BF">
        <w:rPr>
          <w:b/>
          <w:bCs/>
        </w:rPr>
        <w:t>Power BI Dashboard Snippets:</w:t>
      </w:r>
    </w:p>
    <w:p w14:paraId="167E5811" w14:textId="48641AC6" w:rsidR="003D12BF" w:rsidRPr="003D12BF" w:rsidRDefault="003D12BF" w:rsidP="003D12BF">
      <w:pPr>
        <w:numPr>
          <w:ilvl w:val="1"/>
          <w:numId w:val="8"/>
        </w:numPr>
      </w:pPr>
      <w:r w:rsidRPr="003D12BF">
        <w:rPr>
          <w:b/>
          <w:bCs/>
        </w:rPr>
        <w:t>Customer Overview Dashboard:</w:t>
      </w:r>
      <w:r w:rsidRPr="003D12BF">
        <w:t xml:space="preserve"> A screenshot of a Power BI dashboard page displaying the Map chart for customer </w:t>
      </w:r>
      <w:r w:rsidR="00A64410" w:rsidRPr="003D12BF">
        <w:t>distribution,</w:t>
      </w:r>
      <w:r w:rsidRPr="003D12BF">
        <w:t xml:space="preserve"> </w:t>
      </w:r>
    </w:p>
    <w:p w14:paraId="080541EC" w14:textId="77777777" w:rsidR="003D12BF" w:rsidRPr="003D12BF" w:rsidRDefault="003D12BF" w:rsidP="003D12BF">
      <w:r w:rsidRPr="003D12BF">
        <w:t xml:space="preserve">Pie chart for contact title distribution, and a </w:t>
      </w:r>
    </w:p>
    <w:p w14:paraId="4CBEA19F" w14:textId="77777777" w:rsidR="003D12BF" w:rsidRPr="003D12BF" w:rsidRDefault="003D12BF" w:rsidP="003D12BF">
      <w:r w:rsidRPr="003D12BF">
        <w:t>Bar chart for top customers by sales.</w:t>
      </w:r>
    </w:p>
    <w:p w14:paraId="484B3504" w14:textId="6EF6CB26" w:rsidR="003D12BF" w:rsidRPr="003D12BF" w:rsidRDefault="003D12BF" w:rsidP="003D12BF">
      <w:pPr>
        <w:numPr>
          <w:ilvl w:val="1"/>
          <w:numId w:val="8"/>
        </w:numPr>
      </w:pPr>
      <w:r w:rsidRPr="003D12BF">
        <w:rPr>
          <w:b/>
          <w:bCs/>
        </w:rPr>
        <w:t>Sales Performance Dashboard:</w:t>
      </w:r>
      <w:r w:rsidRPr="003D12BF">
        <w:t xml:space="preserve"> A screenshot showcasing the Line chart for customer order trends over </w:t>
      </w:r>
      <w:r w:rsidR="00A64410" w:rsidRPr="003D12BF">
        <w:t>time,</w:t>
      </w:r>
      <w:r w:rsidRPr="003D12BF">
        <w:t xml:space="preserve"> a </w:t>
      </w:r>
    </w:p>
    <w:p w14:paraId="083DB5A5" w14:textId="7B3F4111" w:rsidR="003D12BF" w:rsidRPr="003D12BF" w:rsidRDefault="003D12BF" w:rsidP="003D12BF">
      <w:r w:rsidRPr="003D12BF">
        <w:t xml:space="preserve">Stacked Bar chart for sales volume by product </w:t>
      </w:r>
      <w:r w:rsidR="00A64410" w:rsidRPr="003D12BF">
        <w:t>category,</w:t>
      </w:r>
      <w:r w:rsidRPr="003D12BF">
        <w:t xml:space="preserve"> and a </w:t>
      </w:r>
    </w:p>
    <w:p w14:paraId="426E3097" w14:textId="77777777" w:rsidR="003D12BF" w:rsidRPr="003D12BF" w:rsidRDefault="003D12BF" w:rsidP="003D12BF">
      <w:r w:rsidRPr="003D12BF">
        <w:t>Histogram for order value distribution.</w:t>
      </w:r>
    </w:p>
    <w:p w14:paraId="184AECCC" w14:textId="32B4FCA4" w:rsidR="003D12BF" w:rsidRPr="003D12BF" w:rsidRDefault="003D12BF" w:rsidP="003D12BF">
      <w:pPr>
        <w:numPr>
          <w:ilvl w:val="1"/>
          <w:numId w:val="8"/>
        </w:numPr>
      </w:pPr>
      <w:r w:rsidRPr="003D12BF">
        <w:rPr>
          <w:b/>
          <w:bCs/>
        </w:rPr>
        <w:lastRenderedPageBreak/>
        <w:t>Employee Efficiency Dashboard:</w:t>
      </w:r>
      <w:r w:rsidRPr="003D12BF">
        <w:t xml:space="preserve"> A screenshot presenting the Stacked Bar chart for employee count by job </w:t>
      </w:r>
      <w:r w:rsidR="00A64410" w:rsidRPr="003D12BF">
        <w:t>title,</w:t>
      </w:r>
      <w:r w:rsidRPr="003D12BF">
        <w:t xml:space="preserve"> a </w:t>
      </w:r>
    </w:p>
    <w:p w14:paraId="0D6AFCB8" w14:textId="75996791" w:rsidR="003D12BF" w:rsidRPr="003D12BF" w:rsidRDefault="003D12BF" w:rsidP="003D12BF">
      <w:r w:rsidRPr="003D12BF">
        <w:t xml:space="preserve">Box plot for employee tenure </w:t>
      </w:r>
      <w:r w:rsidR="00A64410" w:rsidRPr="003D12BF">
        <w:t>distribution,</w:t>
      </w:r>
      <w:r w:rsidRPr="003D12BF">
        <w:t xml:space="preserve"> and </w:t>
      </w:r>
      <w:r w:rsidR="00A64410" w:rsidRPr="003D12BF">
        <w:t>illustrative</w:t>
      </w:r>
      <w:r w:rsidRPr="003D12BF">
        <w:t xml:space="preserve"> </w:t>
      </w:r>
    </w:p>
    <w:p w14:paraId="5C6DD192" w14:textId="77777777" w:rsidR="003D12BF" w:rsidRPr="003D12BF" w:rsidRDefault="003D12BF" w:rsidP="003D12BF">
      <w:r w:rsidRPr="003D12BF">
        <w:t>Org chart of the reporting structure.</w:t>
      </w:r>
    </w:p>
    <w:p w14:paraId="7C0DA6C0" w14:textId="20BD6C39" w:rsidR="003D12BF" w:rsidRPr="003D12BF" w:rsidRDefault="003D12BF" w:rsidP="003D12BF">
      <w:pPr>
        <w:numPr>
          <w:ilvl w:val="1"/>
          <w:numId w:val="8"/>
        </w:numPr>
      </w:pPr>
      <w:r w:rsidRPr="003D12BF">
        <w:rPr>
          <w:b/>
          <w:bCs/>
        </w:rPr>
        <w:t>Supply Chain &amp; Order Logistics Dashboard:</w:t>
      </w:r>
      <w:r w:rsidRPr="003D12BF">
        <w:t xml:space="preserve"> A screenshot featuring the Map chart for supplier geographical </w:t>
      </w:r>
      <w:r w:rsidR="00A64410" w:rsidRPr="003D12BF">
        <w:t>distribution,</w:t>
      </w:r>
      <w:r w:rsidRPr="003D12BF">
        <w:t xml:space="preserve"> a </w:t>
      </w:r>
    </w:p>
    <w:p w14:paraId="32C3165A" w14:textId="3C49B9AB" w:rsidR="003D12BF" w:rsidRPr="003D12BF" w:rsidRDefault="003D12BF" w:rsidP="003D12BF">
      <w:r w:rsidRPr="003D12BF">
        <w:t xml:space="preserve">Box plot illustrating product pricing variation across </w:t>
      </w:r>
      <w:r w:rsidR="00A64410" w:rsidRPr="003D12BF">
        <w:t>suppliers,</w:t>
      </w:r>
      <w:r w:rsidRPr="003D12BF">
        <w:t xml:space="preserve"> and a </w:t>
      </w:r>
    </w:p>
    <w:p w14:paraId="013D4541" w14:textId="77777777" w:rsidR="003D12BF" w:rsidRDefault="003D12BF" w:rsidP="003D12BF">
      <w:r w:rsidRPr="003D12BF">
        <w:t>Bar chart displaying the average order shipping duration.</w:t>
      </w:r>
    </w:p>
    <w:p w14:paraId="57E6BC99" w14:textId="6ED8FFF5" w:rsidR="00A64410" w:rsidRDefault="00070BF9" w:rsidP="003D12BF">
      <w:pPr>
        <w:rPr>
          <w:b/>
          <w:bCs/>
          <w:u w:val="single"/>
        </w:rPr>
      </w:pPr>
      <w:r w:rsidRPr="00070BF9">
        <w:rPr>
          <w:b/>
          <w:bCs/>
          <w:u w:val="single"/>
        </w:rPr>
        <w:t>ER Diagram:</w:t>
      </w:r>
    </w:p>
    <w:p w14:paraId="5B0873F7" w14:textId="244CA710" w:rsidR="00070BF9" w:rsidRPr="00070BF9" w:rsidRDefault="00070BF9" w:rsidP="003D12BF">
      <w:pPr>
        <w:rPr>
          <w:b/>
          <w:bCs/>
          <w:u w:val="single"/>
        </w:rPr>
      </w:pPr>
      <w:r>
        <w:rPr>
          <w:b/>
          <w:bCs/>
          <w:noProof/>
          <w:u w:val="single"/>
        </w:rPr>
        <w:drawing>
          <wp:inline distT="0" distB="0" distL="0" distR="0" wp14:anchorId="2BB1E269" wp14:editId="160A9CAD">
            <wp:extent cx="5731510" cy="3867150"/>
            <wp:effectExtent l="0" t="0" r="2540" b="0"/>
            <wp:docPr id="1605955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5518" name="Picture 1605955518"/>
                    <pic:cNvPicPr/>
                  </pic:nvPicPr>
                  <pic:blipFill>
                    <a:blip r:embed="rId29">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p>
    <w:p w14:paraId="3C940398" w14:textId="77777777" w:rsidR="00070BF9" w:rsidRDefault="00070BF9" w:rsidP="003D12BF">
      <w:pPr>
        <w:rPr>
          <w:b/>
          <w:bCs/>
        </w:rPr>
      </w:pPr>
    </w:p>
    <w:p w14:paraId="527C7E54" w14:textId="77777777" w:rsidR="00070BF9" w:rsidRDefault="00070BF9" w:rsidP="003D12BF">
      <w:pPr>
        <w:rPr>
          <w:b/>
          <w:bCs/>
        </w:rPr>
      </w:pPr>
    </w:p>
    <w:p w14:paraId="6C382AA3" w14:textId="77777777" w:rsidR="00070BF9" w:rsidRDefault="00070BF9" w:rsidP="003D12BF">
      <w:pPr>
        <w:rPr>
          <w:b/>
          <w:bCs/>
        </w:rPr>
      </w:pPr>
    </w:p>
    <w:p w14:paraId="4932824F" w14:textId="77777777" w:rsidR="00070BF9" w:rsidRDefault="00070BF9" w:rsidP="003D12BF">
      <w:pPr>
        <w:rPr>
          <w:b/>
          <w:bCs/>
        </w:rPr>
      </w:pPr>
    </w:p>
    <w:p w14:paraId="5FE98A23" w14:textId="77777777" w:rsidR="00070BF9" w:rsidRDefault="00070BF9" w:rsidP="003D12BF">
      <w:pPr>
        <w:rPr>
          <w:b/>
          <w:bCs/>
        </w:rPr>
      </w:pPr>
    </w:p>
    <w:p w14:paraId="5169F567" w14:textId="77777777" w:rsidR="00070BF9" w:rsidRDefault="00070BF9" w:rsidP="003D12BF">
      <w:pPr>
        <w:rPr>
          <w:b/>
          <w:bCs/>
        </w:rPr>
      </w:pPr>
    </w:p>
    <w:p w14:paraId="175142A5" w14:textId="77777777" w:rsidR="00070BF9" w:rsidRDefault="00070BF9" w:rsidP="003D12BF">
      <w:pPr>
        <w:rPr>
          <w:b/>
          <w:bCs/>
        </w:rPr>
      </w:pPr>
    </w:p>
    <w:p w14:paraId="11199DA8" w14:textId="77777777" w:rsidR="00070BF9" w:rsidRDefault="00070BF9" w:rsidP="003D12BF">
      <w:pPr>
        <w:rPr>
          <w:b/>
          <w:bCs/>
        </w:rPr>
      </w:pPr>
    </w:p>
    <w:p w14:paraId="3C397420" w14:textId="77777777" w:rsidR="00070BF9" w:rsidRDefault="00070BF9" w:rsidP="003D12BF">
      <w:pPr>
        <w:rPr>
          <w:b/>
          <w:bCs/>
        </w:rPr>
      </w:pPr>
    </w:p>
    <w:p w14:paraId="6C19B42C" w14:textId="302951F2" w:rsidR="00A64410" w:rsidRDefault="00A64410" w:rsidP="003D12BF">
      <w:pPr>
        <w:rPr>
          <w:b/>
          <w:bCs/>
        </w:rPr>
      </w:pPr>
      <w:r w:rsidRPr="00A64410">
        <w:rPr>
          <w:b/>
          <w:bCs/>
        </w:rPr>
        <w:lastRenderedPageBreak/>
        <w:t xml:space="preserve">Power BI Questions  </w:t>
      </w:r>
    </w:p>
    <w:p w14:paraId="1F6AF864" w14:textId="77777777" w:rsidR="00A64410" w:rsidRDefault="00A64410" w:rsidP="00A64410">
      <w:pPr>
        <w:numPr>
          <w:ilvl w:val="0"/>
          <w:numId w:val="9"/>
        </w:numPr>
        <w:rPr>
          <w:b/>
          <w:bCs/>
        </w:rPr>
      </w:pPr>
      <w:r w:rsidRPr="00A64410">
        <w:rPr>
          <w:b/>
          <w:bCs/>
        </w:rPr>
        <w:t>How does customer distribution vary across different countries or cities? Use bar chart or map to visualize.</w:t>
      </w:r>
    </w:p>
    <w:p w14:paraId="67B064B6" w14:textId="2FED2A6E" w:rsidR="00A64410" w:rsidRDefault="00A64410" w:rsidP="00A64410">
      <w:pPr>
        <w:ind w:left="720"/>
        <w:rPr>
          <w:b/>
          <w:bCs/>
        </w:rPr>
      </w:pPr>
      <w:r>
        <w:rPr>
          <w:b/>
          <w:bCs/>
          <w:noProof/>
        </w:rPr>
        <w:drawing>
          <wp:inline distT="0" distB="0" distL="0" distR="0" wp14:anchorId="388199E6" wp14:editId="60A0ACFD">
            <wp:extent cx="5226050" cy="2362200"/>
            <wp:effectExtent l="0" t="0" r="0" b="0"/>
            <wp:docPr id="35623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38022" name="Picture 356238022"/>
                    <pic:cNvPicPr/>
                  </pic:nvPicPr>
                  <pic:blipFill>
                    <a:blip r:embed="rId30">
                      <a:extLst>
                        <a:ext uri="{28A0092B-C50C-407E-A947-70E740481C1C}">
                          <a14:useLocalDpi xmlns:a14="http://schemas.microsoft.com/office/drawing/2010/main" val="0"/>
                        </a:ext>
                      </a:extLst>
                    </a:blip>
                    <a:stretch>
                      <a:fillRect/>
                    </a:stretch>
                  </pic:blipFill>
                  <pic:spPr>
                    <a:xfrm>
                      <a:off x="0" y="0"/>
                      <a:ext cx="5226050" cy="2362200"/>
                    </a:xfrm>
                    <a:prstGeom prst="rect">
                      <a:avLst/>
                    </a:prstGeom>
                  </pic:spPr>
                </pic:pic>
              </a:graphicData>
            </a:graphic>
          </wp:inline>
        </w:drawing>
      </w:r>
    </w:p>
    <w:p w14:paraId="15E32877" w14:textId="77777777" w:rsidR="007635D6" w:rsidRDefault="007635D6" w:rsidP="00A64410">
      <w:pPr>
        <w:ind w:left="720"/>
        <w:rPr>
          <w:b/>
          <w:bCs/>
        </w:rPr>
      </w:pPr>
    </w:p>
    <w:p w14:paraId="3DD4996C" w14:textId="40F46D47" w:rsidR="00284DA0" w:rsidRPr="00284DA0" w:rsidRDefault="00284DA0" w:rsidP="00284DA0">
      <w:pPr>
        <w:ind w:left="720"/>
        <w:rPr>
          <w:b/>
          <w:bCs/>
        </w:rPr>
      </w:pPr>
      <w:proofErr w:type="gramStart"/>
      <w:r w:rsidRPr="00284DA0">
        <w:rPr>
          <w:b/>
          <w:bCs/>
        </w:rPr>
        <w:t>Conclusion :</w:t>
      </w:r>
      <w:proofErr w:type="gramEnd"/>
      <w:r w:rsidRPr="00284DA0">
        <w:rPr>
          <w:b/>
          <w:bCs/>
        </w:rPr>
        <w:t xml:space="preserve"> The customer distribution varies according to country. USA having the highest customer distribution followed by France and Germany</w:t>
      </w:r>
      <w:r>
        <w:rPr>
          <w:b/>
          <w:bCs/>
        </w:rPr>
        <w:t>.</w:t>
      </w:r>
    </w:p>
    <w:p w14:paraId="3D5C92DE" w14:textId="200E9FB9" w:rsidR="007635D6" w:rsidRDefault="007635D6" w:rsidP="00A64410">
      <w:pPr>
        <w:ind w:left="720"/>
        <w:rPr>
          <w:b/>
          <w:bCs/>
        </w:rPr>
      </w:pPr>
    </w:p>
    <w:p w14:paraId="5777CE5C" w14:textId="77777777" w:rsidR="007635D6" w:rsidRDefault="007635D6" w:rsidP="00A64410">
      <w:pPr>
        <w:ind w:left="720"/>
        <w:rPr>
          <w:b/>
          <w:bCs/>
        </w:rPr>
      </w:pPr>
    </w:p>
    <w:p w14:paraId="39425AD7" w14:textId="77777777" w:rsidR="007635D6" w:rsidRDefault="007635D6" w:rsidP="00A64410">
      <w:pPr>
        <w:ind w:left="720"/>
        <w:rPr>
          <w:b/>
          <w:bCs/>
        </w:rPr>
      </w:pPr>
    </w:p>
    <w:p w14:paraId="43812280" w14:textId="07F3AC8F" w:rsidR="007635D6" w:rsidRDefault="00284DA0" w:rsidP="00284DA0">
      <w:pPr>
        <w:numPr>
          <w:ilvl w:val="0"/>
          <w:numId w:val="9"/>
        </w:numPr>
      </w:pPr>
      <w:r w:rsidRPr="008229BC">
        <w:t>What is the trend in customer orders over time? Use line chart or area chart to visualize</w:t>
      </w:r>
      <w:r>
        <w:rPr>
          <w:b/>
          <w:bCs/>
          <w:noProof/>
        </w:rPr>
        <w:drawing>
          <wp:inline distT="0" distB="0" distL="0" distR="0" wp14:anchorId="78486C52" wp14:editId="528ECD06">
            <wp:extent cx="5073650" cy="3079828"/>
            <wp:effectExtent l="0" t="0" r="0" b="6350"/>
            <wp:docPr id="1478433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3623" name="Picture 1478433623"/>
                    <pic:cNvPicPr/>
                  </pic:nvPicPr>
                  <pic:blipFill>
                    <a:blip r:embed="rId31">
                      <a:extLst>
                        <a:ext uri="{28A0092B-C50C-407E-A947-70E740481C1C}">
                          <a14:useLocalDpi xmlns:a14="http://schemas.microsoft.com/office/drawing/2010/main" val="0"/>
                        </a:ext>
                      </a:extLst>
                    </a:blip>
                    <a:stretch>
                      <a:fillRect/>
                    </a:stretch>
                  </pic:blipFill>
                  <pic:spPr>
                    <a:xfrm>
                      <a:off x="0" y="0"/>
                      <a:ext cx="5084157" cy="3086206"/>
                    </a:xfrm>
                    <a:prstGeom prst="rect">
                      <a:avLst/>
                    </a:prstGeom>
                  </pic:spPr>
                </pic:pic>
              </a:graphicData>
            </a:graphic>
          </wp:inline>
        </w:drawing>
      </w:r>
    </w:p>
    <w:p w14:paraId="2E4F1519" w14:textId="77777777" w:rsidR="00284DA0" w:rsidRPr="00284DA0" w:rsidRDefault="00284DA0" w:rsidP="00284DA0">
      <w:pPr>
        <w:ind w:left="720"/>
        <w:rPr>
          <w:b/>
          <w:bCs/>
        </w:rPr>
      </w:pPr>
    </w:p>
    <w:p w14:paraId="608971D7" w14:textId="60BE73B8" w:rsidR="00284DA0" w:rsidRDefault="00284DA0" w:rsidP="00284DA0">
      <w:pPr>
        <w:rPr>
          <w:b/>
          <w:bCs/>
        </w:rPr>
      </w:pPr>
      <w:r w:rsidRPr="00284DA0">
        <w:rPr>
          <w:b/>
          <w:bCs/>
        </w:rPr>
        <w:t>Conclusion: Customer orders trend seems maximum in May 1996 while minimum in August 1994</w:t>
      </w:r>
      <w:r>
        <w:rPr>
          <w:b/>
          <w:bCs/>
        </w:rPr>
        <w:t>.</w:t>
      </w:r>
    </w:p>
    <w:p w14:paraId="57F13F5D" w14:textId="77777777" w:rsidR="00284DA0" w:rsidRDefault="00284DA0" w:rsidP="00284DA0">
      <w:pPr>
        <w:rPr>
          <w:b/>
          <w:bCs/>
        </w:rPr>
      </w:pPr>
    </w:p>
    <w:p w14:paraId="38E67A5C" w14:textId="7F0F9587" w:rsidR="00284DA0" w:rsidRDefault="00284DA0" w:rsidP="00284DA0">
      <w:pPr>
        <w:pStyle w:val="ListParagraph"/>
        <w:numPr>
          <w:ilvl w:val="0"/>
          <w:numId w:val="9"/>
        </w:numPr>
        <w:rPr>
          <w:b/>
          <w:bCs/>
        </w:rPr>
      </w:pPr>
      <w:r w:rsidRPr="00284DA0">
        <w:rPr>
          <w:b/>
          <w:bCs/>
        </w:rPr>
        <w:t>What is the distribution of customers by Contact Title or Region? Use stacked bar chart or pie chart to visualize.</w:t>
      </w:r>
    </w:p>
    <w:p w14:paraId="6BC7716B" w14:textId="6D1F94E0" w:rsidR="00284DA0" w:rsidRDefault="00284DA0" w:rsidP="00284DA0">
      <w:pPr>
        <w:pStyle w:val="ListParagraph"/>
        <w:rPr>
          <w:b/>
          <w:bCs/>
        </w:rPr>
      </w:pPr>
      <w:r>
        <w:rPr>
          <w:b/>
          <w:bCs/>
          <w:noProof/>
        </w:rPr>
        <w:drawing>
          <wp:inline distT="0" distB="0" distL="0" distR="0" wp14:anchorId="6F9F520E" wp14:editId="70169812">
            <wp:extent cx="5731510" cy="3016250"/>
            <wp:effectExtent l="0" t="0" r="2540" b="0"/>
            <wp:docPr id="724303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03922" name="Picture 724303922"/>
                    <pic:cNvPicPr/>
                  </pic:nvPicPr>
                  <pic:blipFill>
                    <a:blip r:embed="rId32">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5BA033CF" w14:textId="77777777" w:rsidR="00284DA0" w:rsidRDefault="00284DA0" w:rsidP="00284DA0">
      <w:pPr>
        <w:pStyle w:val="ListParagraph"/>
        <w:rPr>
          <w:b/>
          <w:bCs/>
        </w:rPr>
      </w:pPr>
    </w:p>
    <w:p w14:paraId="18537B0F" w14:textId="6728BE06" w:rsidR="00284DA0" w:rsidRPr="00284DA0" w:rsidRDefault="00284DA0" w:rsidP="00284DA0">
      <w:pPr>
        <w:rPr>
          <w:b/>
          <w:bCs/>
        </w:rPr>
      </w:pPr>
      <w:r w:rsidRPr="00284DA0">
        <w:rPr>
          <w:b/>
          <w:bCs/>
        </w:rPr>
        <w:t xml:space="preserve">Conclusion: The contact title wise distribution of customers can be seen highest in owner and Sales Representative </w:t>
      </w:r>
    </w:p>
    <w:p w14:paraId="3FEF0629" w14:textId="55A49BA1" w:rsidR="00284DA0" w:rsidRDefault="00284DA0" w:rsidP="00284DA0">
      <w:pPr>
        <w:pStyle w:val="ListParagraph"/>
        <w:rPr>
          <w:b/>
          <w:bCs/>
        </w:rPr>
      </w:pPr>
    </w:p>
    <w:p w14:paraId="53644AB9" w14:textId="6F1FB084" w:rsidR="00284DA0" w:rsidRDefault="00284DA0" w:rsidP="00284DA0">
      <w:pPr>
        <w:pStyle w:val="ListParagraph"/>
        <w:rPr>
          <w:b/>
          <w:bCs/>
        </w:rPr>
      </w:pPr>
      <w:r w:rsidRPr="00284DA0">
        <w:rPr>
          <w:b/>
          <w:bCs/>
        </w:rPr>
        <w:t>4</w:t>
      </w:r>
      <w:r>
        <w:rPr>
          <w:b/>
          <w:bCs/>
        </w:rPr>
        <w:t xml:space="preserve">.   </w:t>
      </w:r>
      <w:r w:rsidRPr="00284DA0">
        <w:rPr>
          <w:b/>
          <w:bCs/>
        </w:rPr>
        <w:t>How does order volume change over time? Use line chart or stacked bar chart to visualize.</w:t>
      </w:r>
    </w:p>
    <w:p w14:paraId="45776B24" w14:textId="209E3901" w:rsidR="00284DA0" w:rsidRDefault="00284DA0" w:rsidP="00284DA0">
      <w:pPr>
        <w:pStyle w:val="ListParagraph"/>
        <w:rPr>
          <w:b/>
          <w:bCs/>
        </w:rPr>
      </w:pPr>
      <w:r>
        <w:rPr>
          <w:b/>
          <w:bCs/>
          <w:noProof/>
        </w:rPr>
        <w:drawing>
          <wp:inline distT="0" distB="0" distL="0" distR="0" wp14:anchorId="70FDA05F" wp14:editId="61334992">
            <wp:extent cx="5731510" cy="2958465"/>
            <wp:effectExtent l="0" t="0" r="2540" b="0"/>
            <wp:docPr id="135621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13425" name="Picture 1356213425"/>
                    <pic:cNvPicPr/>
                  </pic:nvPicPr>
                  <pic:blipFill>
                    <a:blip r:embed="rId33">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43522F41" w14:textId="77777777" w:rsidR="00284DA0" w:rsidRDefault="00284DA0" w:rsidP="00284DA0">
      <w:pPr>
        <w:pStyle w:val="ListParagraph"/>
        <w:rPr>
          <w:b/>
          <w:bCs/>
        </w:rPr>
      </w:pPr>
    </w:p>
    <w:p w14:paraId="7560D3CA" w14:textId="705B11DA" w:rsidR="00284DA0" w:rsidRPr="00284DA0" w:rsidRDefault="00284DA0" w:rsidP="00284DA0">
      <w:pPr>
        <w:pStyle w:val="ListParagraph"/>
        <w:rPr>
          <w:b/>
          <w:bCs/>
        </w:rPr>
      </w:pPr>
      <w:r w:rsidRPr="00284DA0">
        <w:rPr>
          <w:b/>
          <w:bCs/>
        </w:rPr>
        <w:t>Conclusion: The order volume changes over time as highest in May 1996 and lowest in June 1996.</w:t>
      </w:r>
    </w:p>
    <w:p w14:paraId="67FC5E88" w14:textId="77777777" w:rsidR="00284DA0" w:rsidRPr="00284DA0" w:rsidRDefault="00284DA0" w:rsidP="00284DA0">
      <w:pPr>
        <w:pStyle w:val="ListParagraph"/>
        <w:rPr>
          <w:b/>
          <w:bCs/>
        </w:rPr>
      </w:pPr>
    </w:p>
    <w:p w14:paraId="1863B3A0" w14:textId="77777777" w:rsidR="00284DA0" w:rsidRDefault="00284DA0" w:rsidP="00284DA0">
      <w:pPr>
        <w:rPr>
          <w:b/>
          <w:bCs/>
        </w:rPr>
      </w:pPr>
    </w:p>
    <w:p w14:paraId="60D298E0" w14:textId="49B7F52B" w:rsidR="00284DA0" w:rsidRDefault="00284DA0" w:rsidP="00284DA0">
      <w:pPr>
        <w:rPr>
          <w:b/>
          <w:bCs/>
        </w:rPr>
      </w:pPr>
      <w:r w:rsidRPr="00284DA0">
        <w:rPr>
          <w:b/>
          <w:bCs/>
        </w:rPr>
        <w:t>5.</w:t>
      </w:r>
      <w:r w:rsidR="009C362F">
        <w:rPr>
          <w:b/>
          <w:bCs/>
        </w:rPr>
        <w:t xml:space="preserve">     </w:t>
      </w:r>
      <w:r w:rsidRPr="00284DA0">
        <w:rPr>
          <w:b/>
          <w:bCs/>
        </w:rPr>
        <w:t>What is the distribution of order values? Use histogram or box plot to visualize.</w:t>
      </w:r>
    </w:p>
    <w:p w14:paraId="4D507CFC" w14:textId="22425B62" w:rsidR="009C362F" w:rsidRDefault="009C362F" w:rsidP="00284DA0">
      <w:pPr>
        <w:rPr>
          <w:b/>
          <w:bCs/>
        </w:rPr>
      </w:pPr>
      <w:r>
        <w:rPr>
          <w:b/>
          <w:bCs/>
          <w:noProof/>
        </w:rPr>
        <w:drawing>
          <wp:inline distT="0" distB="0" distL="0" distR="0" wp14:anchorId="66B87B11" wp14:editId="7AB4714D">
            <wp:extent cx="5731510" cy="3985895"/>
            <wp:effectExtent l="0" t="0" r="2540" b="0"/>
            <wp:docPr id="188302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978" name="Picture 188302978"/>
                    <pic:cNvPicPr/>
                  </pic:nvPicPr>
                  <pic:blipFill>
                    <a:blip r:embed="rId34">
                      <a:extLst>
                        <a:ext uri="{28A0092B-C50C-407E-A947-70E740481C1C}">
                          <a14:useLocalDpi xmlns:a14="http://schemas.microsoft.com/office/drawing/2010/main" val="0"/>
                        </a:ext>
                      </a:extLst>
                    </a:blip>
                    <a:stretch>
                      <a:fillRect/>
                    </a:stretch>
                  </pic:blipFill>
                  <pic:spPr>
                    <a:xfrm>
                      <a:off x="0" y="0"/>
                      <a:ext cx="5731510" cy="3985895"/>
                    </a:xfrm>
                    <a:prstGeom prst="rect">
                      <a:avLst/>
                    </a:prstGeom>
                  </pic:spPr>
                </pic:pic>
              </a:graphicData>
            </a:graphic>
          </wp:inline>
        </w:drawing>
      </w:r>
    </w:p>
    <w:p w14:paraId="2085C316" w14:textId="5F04F3A0" w:rsidR="009C362F" w:rsidRDefault="009C362F" w:rsidP="009C362F">
      <w:pPr>
        <w:rPr>
          <w:b/>
          <w:bCs/>
        </w:rPr>
      </w:pPr>
      <w:r w:rsidRPr="009C362F">
        <w:rPr>
          <w:b/>
          <w:bCs/>
        </w:rPr>
        <w:t>Conclusion: The distribution of order values can be seen in the visual.</w:t>
      </w:r>
    </w:p>
    <w:p w14:paraId="7E45465D" w14:textId="77777777" w:rsidR="009C362F" w:rsidRDefault="009C362F" w:rsidP="009C362F">
      <w:pPr>
        <w:rPr>
          <w:b/>
          <w:bCs/>
        </w:rPr>
      </w:pPr>
    </w:p>
    <w:p w14:paraId="77453C1E" w14:textId="77777777" w:rsidR="009C362F" w:rsidRDefault="009C362F" w:rsidP="009C362F">
      <w:pPr>
        <w:rPr>
          <w:b/>
          <w:bCs/>
        </w:rPr>
      </w:pPr>
    </w:p>
    <w:p w14:paraId="1063D0D1" w14:textId="3AD903CB" w:rsidR="009C362F" w:rsidRDefault="009C362F" w:rsidP="009C362F">
      <w:pPr>
        <w:rPr>
          <w:b/>
          <w:bCs/>
        </w:rPr>
      </w:pPr>
      <w:r w:rsidRPr="009C362F">
        <w:rPr>
          <w:b/>
          <w:bCs/>
        </w:rPr>
        <w:t>6. What is the average order shipping duration? Use bar chart or box plot to visualize.</w:t>
      </w:r>
    </w:p>
    <w:p w14:paraId="0E731EEA" w14:textId="51DF7396" w:rsidR="009C362F" w:rsidRDefault="009C362F" w:rsidP="009C362F">
      <w:pPr>
        <w:rPr>
          <w:b/>
          <w:bCs/>
        </w:rPr>
      </w:pPr>
      <w:r>
        <w:rPr>
          <w:b/>
          <w:bCs/>
          <w:noProof/>
        </w:rPr>
        <w:lastRenderedPageBreak/>
        <w:drawing>
          <wp:inline distT="0" distB="0" distL="0" distR="0" wp14:anchorId="04621D82" wp14:editId="7AC437CA">
            <wp:extent cx="5731510" cy="4237355"/>
            <wp:effectExtent l="0" t="0" r="2540" b="0"/>
            <wp:docPr id="745626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26032" name="Picture 745626032"/>
                    <pic:cNvPicPr/>
                  </pic:nvPicPr>
                  <pic:blipFill>
                    <a:blip r:embed="rId35">
                      <a:extLst>
                        <a:ext uri="{28A0092B-C50C-407E-A947-70E740481C1C}">
                          <a14:useLocalDpi xmlns:a14="http://schemas.microsoft.com/office/drawing/2010/main" val="0"/>
                        </a:ext>
                      </a:extLst>
                    </a:blip>
                    <a:stretch>
                      <a:fillRect/>
                    </a:stretch>
                  </pic:blipFill>
                  <pic:spPr>
                    <a:xfrm>
                      <a:off x="0" y="0"/>
                      <a:ext cx="5731510" cy="4237355"/>
                    </a:xfrm>
                    <a:prstGeom prst="rect">
                      <a:avLst/>
                    </a:prstGeom>
                  </pic:spPr>
                </pic:pic>
              </a:graphicData>
            </a:graphic>
          </wp:inline>
        </w:drawing>
      </w:r>
    </w:p>
    <w:p w14:paraId="301F881A" w14:textId="77777777" w:rsidR="009C362F" w:rsidRDefault="009C362F" w:rsidP="009C362F">
      <w:pPr>
        <w:rPr>
          <w:b/>
          <w:bCs/>
        </w:rPr>
      </w:pPr>
    </w:p>
    <w:p w14:paraId="1055B1DD" w14:textId="73B6F2B6" w:rsidR="009C362F" w:rsidRPr="009C362F" w:rsidRDefault="009C362F" w:rsidP="009C362F">
      <w:pPr>
        <w:rPr>
          <w:b/>
          <w:bCs/>
        </w:rPr>
      </w:pPr>
      <w:r w:rsidRPr="009C362F">
        <w:rPr>
          <w:b/>
          <w:bCs/>
        </w:rPr>
        <w:t xml:space="preserve">Conclusion: The average shipping duration varies according to shipping company name. Unites Package has highest shipping duration of 9.23 days </w:t>
      </w:r>
    </w:p>
    <w:p w14:paraId="42952E92" w14:textId="77777777" w:rsidR="009C362F" w:rsidRPr="009C362F" w:rsidRDefault="009C362F" w:rsidP="009C362F">
      <w:pPr>
        <w:rPr>
          <w:b/>
          <w:bCs/>
        </w:rPr>
      </w:pPr>
      <w:r w:rsidRPr="009C362F">
        <w:rPr>
          <w:b/>
          <w:bCs/>
        </w:rPr>
        <w:t>And lowest shipping duration for Federal Shipping of 7.47 days.</w:t>
      </w:r>
    </w:p>
    <w:p w14:paraId="73271EE8" w14:textId="77777777" w:rsidR="009C362F" w:rsidRDefault="009C362F" w:rsidP="009C362F">
      <w:pPr>
        <w:rPr>
          <w:b/>
          <w:bCs/>
        </w:rPr>
      </w:pPr>
    </w:p>
    <w:p w14:paraId="6BF6B0E9" w14:textId="77777777" w:rsidR="009C362F" w:rsidRDefault="009C362F" w:rsidP="009C362F">
      <w:pPr>
        <w:rPr>
          <w:b/>
          <w:bCs/>
        </w:rPr>
      </w:pPr>
    </w:p>
    <w:p w14:paraId="4B8A38D2" w14:textId="68103108" w:rsidR="009C362F" w:rsidRDefault="009C362F" w:rsidP="009C362F">
      <w:pPr>
        <w:rPr>
          <w:b/>
          <w:bCs/>
        </w:rPr>
      </w:pPr>
      <w:r w:rsidRPr="009C362F">
        <w:rPr>
          <w:b/>
          <w:bCs/>
        </w:rPr>
        <w:t>7. What is the count of employees by job title or region? Use stacked bar chart or tree map to visualize.</w:t>
      </w:r>
      <w:r>
        <w:rPr>
          <w:b/>
          <w:bCs/>
        </w:rPr>
        <w:t xml:space="preserve"> </w:t>
      </w:r>
    </w:p>
    <w:p w14:paraId="4150539F" w14:textId="50A5689D" w:rsidR="009C362F" w:rsidRDefault="009C362F" w:rsidP="009C362F">
      <w:pPr>
        <w:rPr>
          <w:b/>
          <w:bCs/>
        </w:rPr>
      </w:pPr>
      <w:r>
        <w:rPr>
          <w:b/>
          <w:bCs/>
          <w:noProof/>
        </w:rPr>
        <w:lastRenderedPageBreak/>
        <w:drawing>
          <wp:inline distT="0" distB="0" distL="0" distR="0" wp14:anchorId="74AB1E3B" wp14:editId="1C4B572E">
            <wp:extent cx="5731510" cy="2674620"/>
            <wp:effectExtent l="0" t="0" r="2540" b="0"/>
            <wp:docPr id="934242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2892" name="Picture 934242892"/>
                    <pic:cNvPicPr/>
                  </pic:nvPicPr>
                  <pic:blipFill>
                    <a:blip r:embed="rId36">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1A56AC57" w14:textId="77777777" w:rsidR="009C362F" w:rsidRDefault="009C362F" w:rsidP="009C362F">
      <w:pPr>
        <w:rPr>
          <w:b/>
          <w:bCs/>
        </w:rPr>
      </w:pPr>
    </w:p>
    <w:p w14:paraId="7591D1A3" w14:textId="045DE203" w:rsidR="009C362F" w:rsidRPr="009C362F" w:rsidRDefault="009C362F" w:rsidP="009C362F">
      <w:pPr>
        <w:rPr>
          <w:b/>
          <w:bCs/>
        </w:rPr>
      </w:pPr>
      <w:r w:rsidRPr="009C362F">
        <w:rPr>
          <w:b/>
          <w:bCs/>
        </w:rPr>
        <w:t>Conclusion: Sales Representative has highest count of employees of 6 and Inside Sales Coordinator, Sales Manager, Vice President Sales having single count of employees respectively</w:t>
      </w:r>
    </w:p>
    <w:p w14:paraId="44C71922" w14:textId="77777777" w:rsidR="009C362F" w:rsidRDefault="009C362F" w:rsidP="009C362F">
      <w:pPr>
        <w:rPr>
          <w:b/>
          <w:bCs/>
        </w:rPr>
      </w:pPr>
    </w:p>
    <w:p w14:paraId="3D20D7BB" w14:textId="77777777" w:rsidR="009C362F" w:rsidRDefault="009C362F" w:rsidP="009C362F">
      <w:pPr>
        <w:rPr>
          <w:b/>
          <w:bCs/>
        </w:rPr>
      </w:pPr>
    </w:p>
    <w:p w14:paraId="2D6B3497" w14:textId="46E01B8B" w:rsidR="009C362F" w:rsidRDefault="009C362F" w:rsidP="009C362F">
      <w:pPr>
        <w:rPr>
          <w:b/>
          <w:bCs/>
        </w:rPr>
      </w:pPr>
      <w:r w:rsidRPr="009C362F">
        <w:rPr>
          <w:b/>
          <w:bCs/>
        </w:rPr>
        <w:t>8. What is the distribution of employee tenure? Use histogram or box plot to visualize.</w:t>
      </w:r>
      <w:r>
        <w:rPr>
          <w:b/>
          <w:bCs/>
        </w:rPr>
        <w:t xml:space="preserve">  </w:t>
      </w:r>
    </w:p>
    <w:p w14:paraId="353C1BD9" w14:textId="30475056" w:rsidR="009C362F" w:rsidRDefault="009C362F" w:rsidP="009C362F">
      <w:pPr>
        <w:rPr>
          <w:b/>
          <w:bCs/>
        </w:rPr>
      </w:pPr>
      <w:r>
        <w:rPr>
          <w:b/>
          <w:bCs/>
          <w:noProof/>
        </w:rPr>
        <w:drawing>
          <wp:inline distT="0" distB="0" distL="0" distR="0" wp14:anchorId="3AE1C284" wp14:editId="0AB9A7D2">
            <wp:extent cx="5731510" cy="2900045"/>
            <wp:effectExtent l="0" t="0" r="2540" b="0"/>
            <wp:docPr id="756195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95316" name="Picture 75619531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1E6D45F4" w14:textId="77777777" w:rsidR="009C362F" w:rsidRDefault="009C362F" w:rsidP="009C362F">
      <w:pPr>
        <w:rPr>
          <w:b/>
          <w:bCs/>
        </w:rPr>
      </w:pPr>
    </w:p>
    <w:p w14:paraId="05B9F632" w14:textId="4D848318" w:rsidR="009C362F" w:rsidRDefault="009C362F" w:rsidP="009C362F">
      <w:pPr>
        <w:rPr>
          <w:b/>
          <w:bCs/>
        </w:rPr>
      </w:pPr>
      <w:r w:rsidRPr="009C362F">
        <w:rPr>
          <w:b/>
          <w:bCs/>
        </w:rPr>
        <w:t>Conclusion: The distribution of employee’s tenure can be seen in the visual.</w:t>
      </w:r>
    </w:p>
    <w:p w14:paraId="50DD7835" w14:textId="77777777" w:rsidR="009C362F" w:rsidRDefault="009C362F" w:rsidP="009C362F">
      <w:pPr>
        <w:rPr>
          <w:b/>
          <w:bCs/>
        </w:rPr>
      </w:pPr>
    </w:p>
    <w:p w14:paraId="0D63F69A" w14:textId="77777777" w:rsidR="009C362F" w:rsidRDefault="009C362F" w:rsidP="009C362F">
      <w:pPr>
        <w:rPr>
          <w:b/>
          <w:bCs/>
        </w:rPr>
      </w:pPr>
    </w:p>
    <w:p w14:paraId="243B89D1" w14:textId="4605B9D6" w:rsidR="009C362F" w:rsidRDefault="009C362F" w:rsidP="009C362F">
      <w:pPr>
        <w:rPr>
          <w:b/>
          <w:bCs/>
        </w:rPr>
      </w:pPr>
      <w:r w:rsidRPr="009C362F">
        <w:rPr>
          <w:b/>
          <w:bCs/>
        </w:rPr>
        <w:t>9.What is the reporting structure among employees? Use org chart or hierarchical tree to visualize.</w:t>
      </w:r>
    </w:p>
    <w:p w14:paraId="14E044C0" w14:textId="55D87F8C" w:rsidR="009C362F" w:rsidRDefault="009C362F" w:rsidP="009C362F">
      <w:pPr>
        <w:rPr>
          <w:b/>
          <w:bCs/>
        </w:rPr>
      </w:pPr>
      <w:r>
        <w:rPr>
          <w:b/>
          <w:bCs/>
          <w:noProof/>
        </w:rPr>
        <w:lastRenderedPageBreak/>
        <w:drawing>
          <wp:inline distT="0" distB="0" distL="0" distR="0" wp14:anchorId="6DA20D93" wp14:editId="501DE83C">
            <wp:extent cx="5731510" cy="3478530"/>
            <wp:effectExtent l="0" t="0" r="2540" b="7620"/>
            <wp:docPr id="2146488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88022" name="Picture 2146488022"/>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421DD4C5" w14:textId="77777777" w:rsidR="009C362F" w:rsidRDefault="009C362F" w:rsidP="009C362F">
      <w:pPr>
        <w:rPr>
          <w:b/>
          <w:bCs/>
        </w:rPr>
      </w:pPr>
    </w:p>
    <w:p w14:paraId="77F40C14" w14:textId="0C1922B9" w:rsidR="009C362F" w:rsidRPr="009C362F" w:rsidRDefault="009C362F" w:rsidP="009C362F">
      <w:pPr>
        <w:rPr>
          <w:b/>
          <w:bCs/>
        </w:rPr>
      </w:pPr>
      <w:r w:rsidRPr="009C362F">
        <w:rPr>
          <w:b/>
          <w:bCs/>
        </w:rPr>
        <w:t>Conclusion: The reporting structure among employees can be seen in snapshot of visual.</w:t>
      </w:r>
    </w:p>
    <w:p w14:paraId="5CA7742E" w14:textId="77777777" w:rsidR="009C362F" w:rsidRPr="009C362F" w:rsidRDefault="009C362F" w:rsidP="009C362F">
      <w:pPr>
        <w:rPr>
          <w:b/>
          <w:bCs/>
        </w:rPr>
      </w:pPr>
    </w:p>
    <w:p w14:paraId="5A1B2B6B" w14:textId="77777777" w:rsidR="009C362F" w:rsidRDefault="009C362F" w:rsidP="009C362F">
      <w:pPr>
        <w:rPr>
          <w:b/>
          <w:bCs/>
        </w:rPr>
      </w:pPr>
    </w:p>
    <w:p w14:paraId="638906B2" w14:textId="77777777" w:rsidR="009C362F" w:rsidRDefault="009C362F" w:rsidP="009C362F">
      <w:pPr>
        <w:rPr>
          <w:b/>
          <w:bCs/>
        </w:rPr>
      </w:pPr>
    </w:p>
    <w:p w14:paraId="214F3FEF" w14:textId="4AAC1476" w:rsidR="009C362F" w:rsidRDefault="009C362F" w:rsidP="009C362F">
      <w:pPr>
        <w:rPr>
          <w:b/>
          <w:bCs/>
        </w:rPr>
      </w:pPr>
      <w:r w:rsidRPr="009C362F">
        <w:rPr>
          <w:b/>
          <w:bCs/>
        </w:rPr>
        <w:t>10. Which products have the highest sales volume? Use bar chart or tree map to visualize.</w:t>
      </w:r>
    </w:p>
    <w:p w14:paraId="681D7DF0" w14:textId="04C3D340" w:rsidR="009C362F" w:rsidRDefault="009C362F" w:rsidP="009C362F">
      <w:pPr>
        <w:rPr>
          <w:b/>
          <w:bCs/>
        </w:rPr>
      </w:pPr>
      <w:r>
        <w:rPr>
          <w:b/>
          <w:bCs/>
          <w:noProof/>
        </w:rPr>
        <w:lastRenderedPageBreak/>
        <w:drawing>
          <wp:inline distT="0" distB="0" distL="0" distR="0" wp14:anchorId="678BEEE0" wp14:editId="00396567">
            <wp:extent cx="5731510" cy="3997325"/>
            <wp:effectExtent l="0" t="0" r="2540" b="3175"/>
            <wp:docPr id="1657865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65088" name="Picture 1657865088"/>
                    <pic:cNvPicPr/>
                  </pic:nvPicPr>
                  <pic:blipFill>
                    <a:blip r:embed="rId39">
                      <a:extLst>
                        <a:ext uri="{28A0092B-C50C-407E-A947-70E740481C1C}">
                          <a14:useLocalDpi xmlns:a14="http://schemas.microsoft.com/office/drawing/2010/main" val="0"/>
                        </a:ext>
                      </a:extLst>
                    </a:blip>
                    <a:stretch>
                      <a:fillRect/>
                    </a:stretch>
                  </pic:blipFill>
                  <pic:spPr>
                    <a:xfrm>
                      <a:off x="0" y="0"/>
                      <a:ext cx="5731510" cy="3997325"/>
                    </a:xfrm>
                    <a:prstGeom prst="rect">
                      <a:avLst/>
                    </a:prstGeom>
                  </pic:spPr>
                </pic:pic>
              </a:graphicData>
            </a:graphic>
          </wp:inline>
        </w:drawing>
      </w:r>
    </w:p>
    <w:p w14:paraId="08BE8DC0" w14:textId="77777777" w:rsidR="009C362F" w:rsidRDefault="009C362F" w:rsidP="009C362F">
      <w:pPr>
        <w:rPr>
          <w:b/>
          <w:bCs/>
        </w:rPr>
      </w:pPr>
    </w:p>
    <w:p w14:paraId="5D70C828" w14:textId="3011CCAA" w:rsidR="009C362F" w:rsidRDefault="009C362F" w:rsidP="009C362F">
      <w:pPr>
        <w:rPr>
          <w:b/>
          <w:bCs/>
        </w:rPr>
      </w:pPr>
      <w:r w:rsidRPr="009C362F">
        <w:rPr>
          <w:b/>
          <w:bCs/>
        </w:rPr>
        <w:t xml:space="preserve">Conclusion: Cote de </w:t>
      </w:r>
      <w:proofErr w:type="spellStart"/>
      <w:r w:rsidRPr="009C362F">
        <w:rPr>
          <w:b/>
          <w:bCs/>
        </w:rPr>
        <w:t>Blaye</w:t>
      </w:r>
      <w:proofErr w:type="spellEnd"/>
      <w:r w:rsidRPr="009C362F">
        <w:rPr>
          <w:b/>
          <w:bCs/>
        </w:rPr>
        <w:t xml:space="preserve"> has the highest sales volume of 150K</w:t>
      </w:r>
      <w:r>
        <w:rPr>
          <w:b/>
          <w:bCs/>
        </w:rPr>
        <w:t>.</w:t>
      </w:r>
    </w:p>
    <w:p w14:paraId="3EA38A7F" w14:textId="77777777" w:rsidR="009C362F" w:rsidRDefault="009C362F" w:rsidP="009C362F">
      <w:pPr>
        <w:rPr>
          <w:b/>
          <w:bCs/>
        </w:rPr>
      </w:pPr>
    </w:p>
    <w:p w14:paraId="0FD5BDC2" w14:textId="77777777" w:rsidR="009C362F" w:rsidRDefault="009C362F" w:rsidP="009C362F">
      <w:pPr>
        <w:rPr>
          <w:b/>
          <w:bCs/>
        </w:rPr>
      </w:pPr>
    </w:p>
    <w:p w14:paraId="6BAE5009" w14:textId="369835A0" w:rsidR="009C362F" w:rsidRDefault="009C362F" w:rsidP="009C362F">
      <w:pPr>
        <w:rPr>
          <w:b/>
          <w:bCs/>
        </w:rPr>
      </w:pPr>
      <w:r w:rsidRPr="009C362F">
        <w:rPr>
          <w:b/>
          <w:bCs/>
        </w:rPr>
        <w:br/>
        <w:t>11. How does the sales volume vary across different product categories? Use stacked bar chart or tree map to visualize.</w:t>
      </w:r>
    </w:p>
    <w:p w14:paraId="25CA4763" w14:textId="083DC75F" w:rsidR="009C362F" w:rsidRDefault="009C362F" w:rsidP="009C362F">
      <w:pPr>
        <w:rPr>
          <w:b/>
          <w:bCs/>
        </w:rPr>
      </w:pPr>
      <w:r>
        <w:rPr>
          <w:b/>
          <w:bCs/>
          <w:noProof/>
        </w:rPr>
        <w:lastRenderedPageBreak/>
        <w:drawing>
          <wp:inline distT="0" distB="0" distL="0" distR="0" wp14:anchorId="45162BC7" wp14:editId="4DD13A29">
            <wp:extent cx="5731510" cy="3452495"/>
            <wp:effectExtent l="0" t="0" r="2540" b="0"/>
            <wp:docPr id="340759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59232" name="Picture 3407592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17C805E6" w14:textId="77777777" w:rsidR="009C362F" w:rsidRDefault="009C362F" w:rsidP="009C362F">
      <w:pPr>
        <w:rPr>
          <w:b/>
          <w:bCs/>
        </w:rPr>
      </w:pPr>
    </w:p>
    <w:p w14:paraId="15277BF6" w14:textId="5F1D1E18" w:rsidR="009C362F" w:rsidRPr="009C362F" w:rsidRDefault="009C362F" w:rsidP="009C362F">
      <w:pPr>
        <w:rPr>
          <w:b/>
          <w:bCs/>
        </w:rPr>
      </w:pPr>
      <w:r w:rsidRPr="009C362F">
        <w:rPr>
          <w:b/>
          <w:bCs/>
        </w:rPr>
        <w:t>Conclusion: The Sales volume vary across different product categories with highest in Beverages and lowest in Grains/Cereals.</w:t>
      </w:r>
    </w:p>
    <w:p w14:paraId="0D8659A2" w14:textId="77777777" w:rsidR="009C362F" w:rsidRPr="009C362F" w:rsidRDefault="009C362F" w:rsidP="009C362F">
      <w:pPr>
        <w:rPr>
          <w:b/>
          <w:bCs/>
        </w:rPr>
      </w:pPr>
    </w:p>
    <w:p w14:paraId="76A75EAD" w14:textId="77777777" w:rsidR="009C362F" w:rsidRDefault="009C362F" w:rsidP="00284DA0">
      <w:pPr>
        <w:rPr>
          <w:b/>
          <w:bCs/>
        </w:rPr>
      </w:pPr>
    </w:p>
    <w:p w14:paraId="717FE6CE" w14:textId="7EB0F053" w:rsidR="009C362F" w:rsidRDefault="009C362F" w:rsidP="00284DA0">
      <w:pPr>
        <w:rPr>
          <w:b/>
          <w:bCs/>
        </w:rPr>
      </w:pPr>
      <w:r w:rsidRPr="009C362F">
        <w:rPr>
          <w:b/>
          <w:bCs/>
        </w:rPr>
        <w:br/>
        <w:t>12. Can we visualize the pricing distribution of products? Use box plot or histogram to visualize.</w:t>
      </w:r>
    </w:p>
    <w:p w14:paraId="57C826DE" w14:textId="60AD24DE" w:rsidR="009C362F" w:rsidRDefault="009C362F" w:rsidP="00284DA0">
      <w:pPr>
        <w:rPr>
          <w:b/>
          <w:bCs/>
        </w:rPr>
      </w:pPr>
      <w:r>
        <w:rPr>
          <w:b/>
          <w:bCs/>
          <w:noProof/>
        </w:rPr>
        <w:lastRenderedPageBreak/>
        <w:drawing>
          <wp:inline distT="0" distB="0" distL="0" distR="0" wp14:anchorId="6D6C5567" wp14:editId="54E4BBA5">
            <wp:extent cx="5731510" cy="3930650"/>
            <wp:effectExtent l="0" t="0" r="2540" b="0"/>
            <wp:docPr id="1487107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07484" name="Picture 1487107484"/>
                    <pic:cNvPicPr/>
                  </pic:nvPicPr>
                  <pic:blipFill>
                    <a:blip r:embed="rId41">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18B5E865" w14:textId="77777777" w:rsidR="009C362F" w:rsidRDefault="009C362F" w:rsidP="00284DA0">
      <w:pPr>
        <w:rPr>
          <w:b/>
          <w:bCs/>
        </w:rPr>
      </w:pPr>
    </w:p>
    <w:p w14:paraId="7D1DE260" w14:textId="5A80B893" w:rsidR="00070BF9" w:rsidRDefault="00070BF9" w:rsidP="00070BF9">
      <w:pPr>
        <w:rPr>
          <w:b/>
          <w:bCs/>
        </w:rPr>
      </w:pPr>
      <w:r w:rsidRPr="00070BF9">
        <w:rPr>
          <w:b/>
          <w:bCs/>
        </w:rPr>
        <w:t>Conclusion: Yes, we can visualize the pricing distribution of products.</w:t>
      </w:r>
    </w:p>
    <w:p w14:paraId="0651EBB2" w14:textId="77777777" w:rsidR="00070BF9" w:rsidRDefault="00070BF9" w:rsidP="00070BF9">
      <w:pPr>
        <w:rPr>
          <w:b/>
          <w:bCs/>
        </w:rPr>
      </w:pPr>
    </w:p>
    <w:p w14:paraId="157F249E" w14:textId="77777777" w:rsidR="00070BF9" w:rsidRDefault="00070BF9" w:rsidP="00070BF9">
      <w:pPr>
        <w:rPr>
          <w:b/>
          <w:bCs/>
        </w:rPr>
      </w:pPr>
    </w:p>
    <w:p w14:paraId="781DC645" w14:textId="6C93F10E" w:rsidR="00070BF9" w:rsidRDefault="00070BF9" w:rsidP="00070BF9">
      <w:pPr>
        <w:rPr>
          <w:b/>
          <w:bCs/>
        </w:rPr>
      </w:pPr>
      <w:r w:rsidRPr="00070BF9">
        <w:rPr>
          <w:b/>
          <w:bCs/>
        </w:rPr>
        <w:t>13. How many products are supplied by each supplier? Use bar chart or pie chart to visualize.</w:t>
      </w:r>
    </w:p>
    <w:p w14:paraId="19AB60F6" w14:textId="2608341D" w:rsidR="00070BF9" w:rsidRDefault="00070BF9" w:rsidP="00070BF9">
      <w:pPr>
        <w:rPr>
          <w:b/>
          <w:bCs/>
        </w:rPr>
      </w:pPr>
      <w:r>
        <w:rPr>
          <w:b/>
          <w:bCs/>
          <w:noProof/>
        </w:rPr>
        <w:lastRenderedPageBreak/>
        <w:drawing>
          <wp:inline distT="0" distB="0" distL="0" distR="0" wp14:anchorId="23C4164D" wp14:editId="2DCA5BB5">
            <wp:extent cx="5731510" cy="3500755"/>
            <wp:effectExtent l="0" t="0" r="2540" b="4445"/>
            <wp:docPr id="603428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8968" name="Picture 603428968"/>
                    <pic:cNvPicPr/>
                  </pic:nvPicPr>
                  <pic:blipFill>
                    <a:blip r:embed="rId42">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20F27778" w14:textId="77777777" w:rsidR="00070BF9" w:rsidRDefault="00070BF9" w:rsidP="00070BF9">
      <w:pPr>
        <w:rPr>
          <w:b/>
          <w:bCs/>
        </w:rPr>
      </w:pPr>
    </w:p>
    <w:p w14:paraId="7F6974D1" w14:textId="083893F7" w:rsidR="00070BF9" w:rsidRDefault="00070BF9" w:rsidP="00070BF9">
      <w:pPr>
        <w:rPr>
          <w:b/>
          <w:bCs/>
        </w:rPr>
      </w:pPr>
      <w:r w:rsidRPr="00070BF9">
        <w:rPr>
          <w:b/>
          <w:bCs/>
        </w:rPr>
        <w:t>Conclusion: Product supplied by each Supplier can be seen in the graph.</w:t>
      </w:r>
    </w:p>
    <w:p w14:paraId="42A84FC8" w14:textId="77777777" w:rsidR="00070BF9" w:rsidRDefault="00070BF9" w:rsidP="00070BF9">
      <w:pPr>
        <w:rPr>
          <w:b/>
          <w:bCs/>
        </w:rPr>
      </w:pPr>
    </w:p>
    <w:p w14:paraId="5C817FC2" w14:textId="77777777" w:rsidR="00070BF9" w:rsidRDefault="00070BF9" w:rsidP="00070BF9">
      <w:pPr>
        <w:rPr>
          <w:b/>
          <w:bCs/>
        </w:rPr>
      </w:pPr>
    </w:p>
    <w:p w14:paraId="320A4E3C" w14:textId="21A8BFF9" w:rsidR="00070BF9" w:rsidRDefault="00070BF9" w:rsidP="00070BF9">
      <w:pPr>
        <w:rPr>
          <w:b/>
          <w:bCs/>
        </w:rPr>
      </w:pPr>
      <w:r w:rsidRPr="00070BF9">
        <w:rPr>
          <w:b/>
          <w:bCs/>
        </w:rPr>
        <w:t>14. How does product pricing vary across different suppliers? Use box plot or stacked column chart to visualize.</w:t>
      </w:r>
    </w:p>
    <w:p w14:paraId="5C180C5D" w14:textId="73843C00" w:rsidR="00070BF9" w:rsidRDefault="00070BF9" w:rsidP="00070BF9">
      <w:pPr>
        <w:rPr>
          <w:b/>
          <w:bCs/>
        </w:rPr>
      </w:pPr>
      <w:r>
        <w:rPr>
          <w:b/>
          <w:bCs/>
          <w:noProof/>
        </w:rPr>
        <w:drawing>
          <wp:inline distT="0" distB="0" distL="0" distR="0" wp14:anchorId="32FECBAE" wp14:editId="18A1CD50">
            <wp:extent cx="5731510" cy="3246120"/>
            <wp:effectExtent l="0" t="0" r="2540" b="0"/>
            <wp:docPr id="6321627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62769" name="Picture 632162769"/>
                    <pic:cNvPicPr/>
                  </pic:nvPicPr>
                  <pic:blipFill>
                    <a:blip r:embed="rId43">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43DC77EE" w14:textId="49EC8114" w:rsidR="00070BF9" w:rsidRPr="00070BF9" w:rsidRDefault="00070BF9" w:rsidP="00070BF9">
      <w:pPr>
        <w:rPr>
          <w:b/>
          <w:bCs/>
        </w:rPr>
      </w:pPr>
      <w:r w:rsidRPr="00070BF9">
        <w:rPr>
          <w:b/>
          <w:bCs/>
        </w:rPr>
        <w:t>Conclusion: The supplier-wise Price distribution per product can be seen in the visual.</w:t>
      </w:r>
    </w:p>
    <w:p w14:paraId="2CEB4E5B" w14:textId="6F2D333D" w:rsidR="00070BF9" w:rsidRDefault="00070BF9" w:rsidP="00070BF9">
      <w:pPr>
        <w:rPr>
          <w:b/>
          <w:bCs/>
        </w:rPr>
      </w:pPr>
      <w:r w:rsidRPr="00070BF9">
        <w:rPr>
          <w:b/>
          <w:bCs/>
        </w:rPr>
        <w:lastRenderedPageBreak/>
        <w:t>15. What is the geographical distribution of suppliers? Use map chart or bubble map to visualize.</w:t>
      </w:r>
    </w:p>
    <w:p w14:paraId="5D212D53" w14:textId="63E842AB" w:rsidR="00FD721A" w:rsidRDefault="00FD721A" w:rsidP="00070BF9">
      <w:pPr>
        <w:rPr>
          <w:b/>
          <w:bCs/>
        </w:rPr>
      </w:pPr>
      <w:r>
        <w:rPr>
          <w:b/>
          <w:bCs/>
          <w:noProof/>
        </w:rPr>
        <w:drawing>
          <wp:inline distT="0" distB="0" distL="0" distR="0" wp14:anchorId="605289FD" wp14:editId="16C44B05">
            <wp:extent cx="5731510" cy="3295650"/>
            <wp:effectExtent l="0" t="0" r="2540" b="0"/>
            <wp:docPr id="17155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3274" name="Picture 1715543274"/>
                    <pic:cNvPicPr/>
                  </pic:nvPicPr>
                  <pic:blipFill>
                    <a:blip r:embed="rId44">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7091D89F" w14:textId="0EE8CC45" w:rsidR="00FD721A" w:rsidRPr="00FD721A" w:rsidRDefault="00FD721A" w:rsidP="00FD721A">
      <w:pPr>
        <w:rPr>
          <w:b/>
          <w:bCs/>
        </w:rPr>
      </w:pPr>
      <w:r w:rsidRPr="00FD721A">
        <w:rPr>
          <w:b/>
          <w:bCs/>
          <w:lang w:val="en-US"/>
        </w:rPr>
        <w:t xml:space="preserve">Conclusion: </w:t>
      </w:r>
      <w:r w:rsidRPr="00FD721A">
        <w:rPr>
          <w:lang w:val="en-US"/>
        </w:rPr>
        <w:t>Most suppliers are concentrated in Europe and North America, with a significant presence. There are also suppliers located in Asia, South America, and Australia, though in smaller numbers compared to Europe and North America. No suppliers are indicated in Africa. The pie charts at each location likely represent the proportion of different supplier IDs contributing to that specific geographical area</w:t>
      </w:r>
    </w:p>
    <w:p w14:paraId="32BAE8AE" w14:textId="77777777" w:rsidR="00FD721A" w:rsidRDefault="00FD721A" w:rsidP="00070BF9">
      <w:pPr>
        <w:rPr>
          <w:b/>
          <w:bCs/>
        </w:rPr>
      </w:pPr>
    </w:p>
    <w:p w14:paraId="4D20C3D0" w14:textId="77777777" w:rsidR="00070BF9" w:rsidRPr="00070BF9" w:rsidRDefault="00070BF9" w:rsidP="00070BF9">
      <w:pPr>
        <w:rPr>
          <w:b/>
          <w:bCs/>
        </w:rPr>
      </w:pPr>
    </w:p>
    <w:p w14:paraId="269677D3" w14:textId="77777777" w:rsidR="003D12BF" w:rsidRPr="003D12BF" w:rsidRDefault="003D12BF" w:rsidP="003D12BF">
      <w:r w:rsidRPr="003D12BF">
        <w:rPr>
          <w:b/>
          <w:bCs/>
        </w:rPr>
        <w:t>8. Conclusion</w:t>
      </w:r>
    </w:p>
    <w:p w14:paraId="757FAFBE" w14:textId="4634C9C6" w:rsidR="003D12BF" w:rsidRPr="003D12BF" w:rsidRDefault="003D12BF" w:rsidP="003D12BF">
      <w:r w:rsidRPr="003D12BF">
        <w:t xml:space="preserve">This Capstone Project, the Northwind Sales Analysis, has successfully leveraged a multi-tool approach (SQL, Excel, and Power BI) to comprehensively address critical business questions related to customer </w:t>
      </w:r>
      <w:r w:rsidR="00A64410" w:rsidRPr="003D12BF">
        <w:t>behaviour</w:t>
      </w:r>
      <w:r w:rsidRPr="003D12BF">
        <w:t>, sales performance, employee efficiency, order trends, and supplier dynamics. The analysis has not only answered the initial key business questions but also provided deeper insights into the underlying patterns and relationships within the Northwind dataset.</w:t>
      </w:r>
    </w:p>
    <w:p w14:paraId="3E860C6A" w14:textId="77777777" w:rsidR="003D12BF" w:rsidRPr="003D12BF" w:rsidRDefault="003D12BF" w:rsidP="003D12BF">
      <w:r w:rsidRPr="003D12BF">
        <w:t>The most valuable insights gleaned from this analysis highlight the significant impact of geographical customer concentration on sales, the consistent performance of specific product categories, the need for optimized employee training and sales allocation, and crucial opportunities for cost reduction within the supply chain by strategically managing supplier relationships and pricing.</w:t>
      </w:r>
    </w:p>
    <w:p w14:paraId="37970E75" w14:textId="77777777" w:rsidR="003D12BF" w:rsidRPr="003D12BF" w:rsidRDefault="003D12BF" w:rsidP="003D12BF">
      <w:r w:rsidRPr="003D12BF">
        <w:t>Ultimately, this analysis provides a robust framework for strategic decision-making. By acting on the data-driven insights and implementing the recommended strategies, Northwind Traders can expect to enhance sales performance, optimize operational costs, improve customer satisfaction, and foster a more efficient and productive workforce. This project underscores the power of data analytics in transforming raw data into actionable intelligence for sustainable business growth.</w:t>
      </w:r>
    </w:p>
    <w:p w14:paraId="41F14012" w14:textId="77777777" w:rsidR="00BD76D8" w:rsidRDefault="00BD76D8"/>
    <w:sectPr w:rsidR="00BD7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027D2"/>
    <w:multiLevelType w:val="multilevel"/>
    <w:tmpl w:val="9C108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BE1585"/>
    <w:multiLevelType w:val="multilevel"/>
    <w:tmpl w:val="751E6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C5AD7"/>
    <w:multiLevelType w:val="multilevel"/>
    <w:tmpl w:val="73D0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F15C53"/>
    <w:multiLevelType w:val="multilevel"/>
    <w:tmpl w:val="73D0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B7548"/>
    <w:multiLevelType w:val="multilevel"/>
    <w:tmpl w:val="48ECD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4F0AF2"/>
    <w:multiLevelType w:val="multilevel"/>
    <w:tmpl w:val="47CA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F2383"/>
    <w:multiLevelType w:val="multilevel"/>
    <w:tmpl w:val="2B7A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521B8D"/>
    <w:multiLevelType w:val="multilevel"/>
    <w:tmpl w:val="3A06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FB4F3C"/>
    <w:multiLevelType w:val="multilevel"/>
    <w:tmpl w:val="0E02B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1B13CA"/>
    <w:multiLevelType w:val="multilevel"/>
    <w:tmpl w:val="A5786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933302">
    <w:abstractNumId w:val="6"/>
  </w:num>
  <w:num w:numId="2" w16cid:durableId="252209620">
    <w:abstractNumId w:val="7"/>
  </w:num>
  <w:num w:numId="3" w16cid:durableId="1748769758">
    <w:abstractNumId w:val="1"/>
  </w:num>
  <w:num w:numId="4" w16cid:durableId="56320625">
    <w:abstractNumId w:val="5"/>
  </w:num>
  <w:num w:numId="5" w16cid:durableId="108353670">
    <w:abstractNumId w:val="8"/>
  </w:num>
  <w:num w:numId="6" w16cid:durableId="1493378037">
    <w:abstractNumId w:val="0"/>
  </w:num>
  <w:num w:numId="7" w16cid:durableId="1253316011">
    <w:abstractNumId w:val="4"/>
  </w:num>
  <w:num w:numId="8" w16cid:durableId="1117530378">
    <w:abstractNumId w:val="9"/>
  </w:num>
  <w:num w:numId="9" w16cid:durableId="176620023">
    <w:abstractNumId w:val="2"/>
  </w:num>
  <w:num w:numId="10" w16cid:durableId="855654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BF"/>
    <w:rsid w:val="00070BF9"/>
    <w:rsid w:val="00222092"/>
    <w:rsid w:val="00227BE6"/>
    <w:rsid w:val="00284DA0"/>
    <w:rsid w:val="003D12BF"/>
    <w:rsid w:val="005926F3"/>
    <w:rsid w:val="00670A93"/>
    <w:rsid w:val="006C0055"/>
    <w:rsid w:val="006E1534"/>
    <w:rsid w:val="00704426"/>
    <w:rsid w:val="007635D6"/>
    <w:rsid w:val="0077725F"/>
    <w:rsid w:val="007C011E"/>
    <w:rsid w:val="009C362F"/>
    <w:rsid w:val="00A64410"/>
    <w:rsid w:val="00AF7B7D"/>
    <w:rsid w:val="00BD76D8"/>
    <w:rsid w:val="00C40E8C"/>
    <w:rsid w:val="00D559D8"/>
    <w:rsid w:val="00D945F9"/>
    <w:rsid w:val="00DD6B93"/>
    <w:rsid w:val="00E85EE4"/>
    <w:rsid w:val="00FD72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29AA8"/>
  <w15:chartTrackingRefBased/>
  <w15:docId w15:val="{AD3A1803-5738-48DD-9996-AAFE6EE8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12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12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12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12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12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1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1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1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12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2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12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12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12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12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1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1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1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12BF"/>
    <w:rPr>
      <w:rFonts w:eastAsiaTheme="majorEastAsia" w:cstheme="majorBidi"/>
      <w:color w:val="272727" w:themeColor="text1" w:themeTint="D8"/>
    </w:rPr>
  </w:style>
  <w:style w:type="paragraph" w:styleId="Title">
    <w:name w:val="Title"/>
    <w:basedOn w:val="Normal"/>
    <w:next w:val="Normal"/>
    <w:link w:val="TitleChar"/>
    <w:uiPriority w:val="10"/>
    <w:qFormat/>
    <w:rsid w:val="003D1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12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1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12BF"/>
    <w:pPr>
      <w:spacing w:before="160"/>
      <w:jc w:val="center"/>
    </w:pPr>
    <w:rPr>
      <w:i/>
      <w:iCs/>
      <w:color w:val="404040" w:themeColor="text1" w:themeTint="BF"/>
    </w:rPr>
  </w:style>
  <w:style w:type="character" w:customStyle="1" w:styleId="QuoteChar">
    <w:name w:val="Quote Char"/>
    <w:basedOn w:val="DefaultParagraphFont"/>
    <w:link w:val="Quote"/>
    <w:uiPriority w:val="29"/>
    <w:rsid w:val="003D12BF"/>
    <w:rPr>
      <w:i/>
      <w:iCs/>
      <w:color w:val="404040" w:themeColor="text1" w:themeTint="BF"/>
    </w:rPr>
  </w:style>
  <w:style w:type="paragraph" w:styleId="ListParagraph">
    <w:name w:val="List Paragraph"/>
    <w:basedOn w:val="Normal"/>
    <w:uiPriority w:val="34"/>
    <w:qFormat/>
    <w:rsid w:val="003D12BF"/>
    <w:pPr>
      <w:ind w:left="720"/>
      <w:contextualSpacing/>
    </w:pPr>
  </w:style>
  <w:style w:type="character" w:styleId="IntenseEmphasis">
    <w:name w:val="Intense Emphasis"/>
    <w:basedOn w:val="DefaultParagraphFont"/>
    <w:uiPriority w:val="21"/>
    <w:qFormat/>
    <w:rsid w:val="003D12BF"/>
    <w:rPr>
      <w:i/>
      <w:iCs/>
      <w:color w:val="2F5496" w:themeColor="accent1" w:themeShade="BF"/>
    </w:rPr>
  </w:style>
  <w:style w:type="paragraph" w:styleId="IntenseQuote">
    <w:name w:val="Intense Quote"/>
    <w:basedOn w:val="Normal"/>
    <w:next w:val="Normal"/>
    <w:link w:val="IntenseQuoteChar"/>
    <w:uiPriority w:val="30"/>
    <w:qFormat/>
    <w:rsid w:val="003D12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12BF"/>
    <w:rPr>
      <w:i/>
      <w:iCs/>
      <w:color w:val="2F5496" w:themeColor="accent1" w:themeShade="BF"/>
    </w:rPr>
  </w:style>
  <w:style w:type="character" w:styleId="IntenseReference">
    <w:name w:val="Intense Reference"/>
    <w:basedOn w:val="DefaultParagraphFont"/>
    <w:uiPriority w:val="32"/>
    <w:qFormat/>
    <w:rsid w:val="003D12BF"/>
    <w:rPr>
      <w:b/>
      <w:bCs/>
      <w:smallCaps/>
      <w:color w:val="2F5496" w:themeColor="accent1" w:themeShade="BF"/>
      <w:spacing w:val="5"/>
    </w:rPr>
  </w:style>
  <w:style w:type="paragraph" w:styleId="NormalWeb">
    <w:name w:val="Normal (Web)"/>
    <w:basedOn w:val="Normal"/>
    <w:uiPriority w:val="99"/>
    <w:semiHidden/>
    <w:unhideWhenUsed/>
    <w:rsid w:val="003D12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49437">
      <w:bodyDiv w:val="1"/>
      <w:marLeft w:val="0"/>
      <w:marRight w:val="0"/>
      <w:marTop w:val="0"/>
      <w:marBottom w:val="0"/>
      <w:divBdr>
        <w:top w:val="none" w:sz="0" w:space="0" w:color="auto"/>
        <w:left w:val="none" w:sz="0" w:space="0" w:color="auto"/>
        <w:bottom w:val="none" w:sz="0" w:space="0" w:color="auto"/>
        <w:right w:val="none" w:sz="0" w:space="0" w:color="auto"/>
      </w:divBdr>
    </w:div>
    <w:div w:id="214119732">
      <w:bodyDiv w:val="1"/>
      <w:marLeft w:val="0"/>
      <w:marRight w:val="0"/>
      <w:marTop w:val="0"/>
      <w:marBottom w:val="0"/>
      <w:divBdr>
        <w:top w:val="none" w:sz="0" w:space="0" w:color="auto"/>
        <w:left w:val="none" w:sz="0" w:space="0" w:color="auto"/>
        <w:bottom w:val="none" w:sz="0" w:space="0" w:color="auto"/>
        <w:right w:val="none" w:sz="0" w:space="0" w:color="auto"/>
      </w:divBdr>
    </w:div>
    <w:div w:id="327558764">
      <w:bodyDiv w:val="1"/>
      <w:marLeft w:val="0"/>
      <w:marRight w:val="0"/>
      <w:marTop w:val="0"/>
      <w:marBottom w:val="0"/>
      <w:divBdr>
        <w:top w:val="none" w:sz="0" w:space="0" w:color="auto"/>
        <w:left w:val="none" w:sz="0" w:space="0" w:color="auto"/>
        <w:bottom w:val="none" w:sz="0" w:space="0" w:color="auto"/>
        <w:right w:val="none" w:sz="0" w:space="0" w:color="auto"/>
      </w:divBdr>
    </w:div>
    <w:div w:id="411396867">
      <w:bodyDiv w:val="1"/>
      <w:marLeft w:val="0"/>
      <w:marRight w:val="0"/>
      <w:marTop w:val="0"/>
      <w:marBottom w:val="0"/>
      <w:divBdr>
        <w:top w:val="none" w:sz="0" w:space="0" w:color="auto"/>
        <w:left w:val="none" w:sz="0" w:space="0" w:color="auto"/>
        <w:bottom w:val="none" w:sz="0" w:space="0" w:color="auto"/>
        <w:right w:val="none" w:sz="0" w:space="0" w:color="auto"/>
      </w:divBdr>
    </w:div>
    <w:div w:id="547689704">
      <w:bodyDiv w:val="1"/>
      <w:marLeft w:val="0"/>
      <w:marRight w:val="0"/>
      <w:marTop w:val="0"/>
      <w:marBottom w:val="0"/>
      <w:divBdr>
        <w:top w:val="none" w:sz="0" w:space="0" w:color="auto"/>
        <w:left w:val="none" w:sz="0" w:space="0" w:color="auto"/>
        <w:bottom w:val="none" w:sz="0" w:space="0" w:color="auto"/>
        <w:right w:val="none" w:sz="0" w:space="0" w:color="auto"/>
      </w:divBdr>
    </w:div>
    <w:div w:id="551966008">
      <w:bodyDiv w:val="1"/>
      <w:marLeft w:val="0"/>
      <w:marRight w:val="0"/>
      <w:marTop w:val="0"/>
      <w:marBottom w:val="0"/>
      <w:divBdr>
        <w:top w:val="none" w:sz="0" w:space="0" w:color="auto"/>
        <w:left w:val="none" w:sz="0" w:space="0" w:color="auto"/>
        <w:bottom w:val="none" w:sz="0" w:space="0" w:color="auto"/>
        <w:right w:val="none" w:sz="0" w:space="0" w:color="auto"/>
      </w:divBdr>
    </w:div>
    <w:div w:id="70275290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04">
          <w:marLeft w:val="0"/>
          <w:marRight w:val="0"/>
          <w:marTop w:val="0"/>
          <w:marBottom w:val="0"/>
          <w:divBdr>
            <w:top w:val="none" w:sz="0" w:space="0" w:color="auto"/>
            <w:left w:val="none" w:sz="0" w:space="0" w:color="auto"/>
            <w:bottom w:val="none" w:sz="0" w:space="0" w:color="auto"/>
            <w:right w:val="none" w:sz="0" w:space="0" w:color="auto"/>
          </w:divBdr>
          <w:divsChild>
            <w:div w:id="1369329522">
              <w:marLeft w:val="0"/>
              <w:marRight w:val="0"/>
              <w:marTop w:val="0"/>
              <w:marBottom w:val="0"/>
              <w:divBdr>
                <w:top w:val="none" w:sz="0" w:space="0" w:color="auto"/>
                <w:left w:val="none" w:sz="0" w:space="0" w:color="auto"/>
                <w:bottom w:val="none" w:sz="0" w:space="0" w:color="auto"/>
                <w:right w:val="none" w:sz="0" w:space="0" w:color="auto"/>
              </w:divBdr>
            </w:div>
            <w:div w:id="1734618410">
              <w:marLeft w:val="0"/>
              <w:marRight w:val="0"/>
              <w:marTop w:val="0"/>
              <w:marBottom w:val="0"/>
              <w:divBdr>
                <w:top w:val="none" w:sz="0" w:space="0" w:color="auto"/>
                <w:left w:val="none" w:sz="0" w:space="0" w:color="auto"/>
                <w:bottom w:val="none" w:sz="0" w:space="0" w:color="auto"/>
                <w:right w:val="none" w:sz="0" w:space="0" w:color="auto"/>
              </w:divBdr>
              <w:divsChild>
                <w:div w:id="15692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7854">
          <w:marLeft w:val="0"/>
          <w:marRight w:val="0"/>
          <w:marTop w:val="0"/>
          <w:marBottom w:val="0"/>
          <w:divBdr>
            <w:top w:val="none" w:sz="0" w:space="0" w:color="auto"/>
            <w:left w:val="none" w:sz="0" w:space="0" w:color="auto"/>
            <w:bottom w:val="none" w:sz="0" w:space="0" w:color="auto"/>
            <w:right w:val="none" w:sz="0" w:space="0" w:color="auto"/>
          </w:divBdr>
          <w:divsChild>
            <w:div w:id="1861241058">
              <w:marLeft w:val="0"/>
              <w:marRight w:val="0"/>
              <w:marTop w:val="0"/>
              <w:marBottom w:val="0"/>
              <w:divBdr>
                <w:top w:val="none" w:sz="0" w:space="0" w:color="auto"/>
                <w:left w:val="none" w:sz="0" w:space="0" w:color="auto"/>
                <w:bottom w:val="none" w:sz="0" w:space="0" w:color="auto"/>
                <w:right w:val="none" w:sz="0" w:space="0" w:color="auto"/>
              </w:divBdr>
            </w:div>
            <w:div w:id="1420634644">
              <w:marLeft w:val="0"/>
              <w:marRight w:val="0"/>
              <w:marTop w:val="0"/>
              <w:marBottom w:val="0"/>
              <w:divBdr>
                <w:top w:val="none" w:sz="0" w:space="0" w:color="auto"/>
                <w:left w:val="none" w:sz="0" w:space="0" w:color="auto"/>
                <w:bottom w:val="none" w:sz="0" w:space="0" w:color="auto"/>
                <w:right w:val="none" w:sz="0" w:space="0" w:color="auto"/>
              </w:divBdr>
              <w:divsChild>
                <w:div w:id="3671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0423">
          <w:marLeft w:val="0"/>
          <w:marRight w:val="0"/>
          <w:marTop w:val="0"/>
          <w:marBottom w:val="0"/>
          <w:divBdr>
            <w:top w:val="none" w:sz="0" w:space="0" w:color="auto"/>
            <w:left w:val="none" w:sz="0" w:space="0" w:color="auto"/>
            <w:bottom w:val="none" w:sz="0" w:space="0" w:color="auto"/>
            <w:right w:val="none" w:sz="0" w:space="0" w:color="auto"/>
          </w:divBdr>
          <w:divsChild>
            <w:div w:id="1796407466">
              <w:marLeft w:val="0"/>
              <w:marRight w:val="0"/>
              <w:marTop w:val="0"/>
              <w:marBottom w:val="0"/>
              <w:divBdr>
                <w:top w:val="none" w:sz="0" w:space="0" w:color="auto"/>
                <w:left w:val="none" w:sz="0" w:space="0" w:color="auto"/>
                <w:bottom w:val="none" w:sz="0" w:space="0" w:color="auto"/>
                <w:right w:val="none" w:sz="0" w:space="0" w:color="auto"/>
              </w:divBdr>
            </w:div>
            <w:div w:id="1242760696">
              <w:marLeft w:val="0"/>
              <w:marRight w:val="0"/>
              <w:marTop w:val="0"/>
              <w:marBottom w:val="0"/>
              <w:divBdr>
                <w:top w:val="none" w:sz="0" w:space="0" w:color="auto"/>
                <w:left w:val="none" w:sz="0" w:space="0" w:color="auto"/>
                <w:bottom w:val="none" w:sz="0" w:space="0" w:color="auto"/>
                <w:right w:val="none" w:sz="0" w:space="0" w:color="auto"/>
              </w:divBdr>
              <w:divsChild>
                <w:div w:id="60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4128">
          <w:marLeft w:val="0"/>
          <w:marRight w:val="0"/>
          <w:marTop w:val="0"/>
          <w:marBottom w:val="0"/>
          <w:divBdr>
            <w:top w:val="none" w:sz="0" w:space="0" w:color="auto"/>
            <w:left w:val="none" w:sz="0" w:space="0" w:color="auto"/>
            <w:bottom w:val="none" w:sz="0" w:space="0" w:color="auto"/>
            <w:right w:val="none" w:sz="0" w:space="0" w:color="auto"/>
          </w:divBdr>
          <w:divsChild>
            <w:div w:id="653994144">
              <w:marLeft w:val="0"/>
              <w:marRight w:val="0"/>
              <w:marTop w:val="0"/>
              <w:marBottom w:val="0"/>
              <w:divBdr>
                <w:top w:val="none" w:sz="0" w:space="0" w:color="auto"/>
                <w:left w:val="none" w:sz="0" w:space="0" w:color="auto"/>
                <w:bottom w:val="none" w:sz="0" w:space="0" w:color="auto"/>
                <w:right w:val="none" w:sz="0" w:space="0" w:color="auto"/>
              </w:divBdr>
            </w:div>
            <w:div w:id="1989942148">
              <w:marLeft w:val="0"/>
              <w:marRight w:val="0"/>
              <w:marTop w:val="0"/>
              <w:marBottom w:val="0"/>
              <w:divBdr>
                <w:top w:val="none" w:sz="0" w:space="0" w:color="auto"/>
                <w:left w:val="none" w:sz="0" w:space="0" w:color="auto"/>
                <w:bottom w:val="none" w:sz="0" w:space="0" w:color="auto"/>
                <w:right w:val="none" w:sz="0" w:space="0" w:color="auto"/>
              </w:divBdr>
              <w:divsChild>
                <w:div w:id="2069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5905">
          <w:marLeft w:val="0"/>
          <w:marRight w:val="0"/>
          <w:marTop w:val="0"/>
          <w:marBottom w:val="0"/>
          <w:divBdr>
            <w:top w:val="none" w:sz="0" w:space="0" w:color="auto"/>
            <w:left w:val="none" w:sz="0" w:space="0" w:color="auto"/>
            <w:bottom w:val="none" w:sz="0" w:space="0" w:color="auto"/>
            <w:right w:val="none" w:sz="0" w:space="0" w:color="auto"/>
          </w:divBdr>
          <w:divsChild>
            <w:div w:id="2048990235">
              <w:marLeft w:val="0"/>
              <w:marRight w:val="0"/>
              <w:marTop w:val="0"/>
              <w:marBottom w:val="0"/>
              <w:divBdr>
                <w:top w:val="none" w:sz="0" w:space="0" w:color="auto"/>
                <w:left w:val="none" w:sz="0" w:space="0" w:color="auto"/>
                <w:bottom w:val="none" w:sz="0" w:space="0" w:color="auto"/>
                <w:right w:val="none" w:sz="0" w:space="0" w:color="auto"/>
              </w:divBdr>
            </w:div>
            <w:div w:id="187570034">
              <w:marLeft w:val="0"/>
              <w:marRight w:val="0"/>
              <w:marTop w:val="0"/>
              <w:marBottom w:val="0"/>
              <w:divBdr>
                <w:top w:val="none" w:sz="0" w:space="0" w:color="auto"/>
                <w:left w:val="none" w:sz="0" w:space="0" w:color="auto"/>
                <w:bottom w:val="none" w:sz="0" w:space="0" w:color="auto"/>
                <w:right w:val="none" w:sz="0" w:space="0" w:color="auto"/>
              </w:divBdr>
              <w:divsChild>
                <w:div w:id="11902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3832">
          <w:marLeft w:val="0"/>
          <w:marRight w:val="0"/>
          <w:marTop w:val="0"/>
          <w:marBottom w:val="0"/>
          <w:divBdr>
            <w:top w:val="none" w:sz="0" w:space="0" w:color="auto"/>
            <w:left w:val="none" w:sz="0" w:space="0" w:color="auto"/>
            <w:bottom w:val="none" w:sz="0" w:space="0" w:color="auto"/>
            <w:right w:val="none" w:sz="0" w:space="0" w:color="auto"/>
          </w:divBdr>
          <w:divsChild>
            <w:div w:id="1862620143">
              <w:marLeft w:val="0"/>
              <w:marRight w:val="0"/>
              <w:marTop w:val="0"/>
              <w:marBottom w:val="0"/>
              <w:divBdr>
                <w:top w:val="none" w:sz="0" w:space="0" w:color="auto"/>
                <w:left w:val="none" w:sz="0" w:space="0" w:color="auto"/>
                <w:bottom w:val="none" w:sz="0" w:space="0" w:color="auto"/>
                <w:right w:val="none" w:sz="0" w:space="0" w:color="auto"/>
              </w:divBdr>
            </w:div>
            <w:div w:id="2073648812">
              <w:marLeft w:val="0"/>
              <w:marRight w:val="0"/>
              <w:marTop w:val="0"/>
              <w:marBottom w:val="0"/>
              <w:divBdr>
                <w:top w:val="none" w:sz="0" w:space="0" w:color="auto"/>
                <w:left w:val="none" w:sz="0" w:space="0" w:color="auto"/>
                <w:bottom w:val="none" w:sz="0" w:space="0" w:color="auto"/>
                <w:right w:val="none" w:sz="0" w:space="0" w:color="auto"/>
              </w:divBdr>
              <w:divsChild>
                <w:div w:id="994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375">
          <w:marLeft w:val="0"/>
          <w:marRight w:val="0"/>
          <w:marTop w:val="0"/>
          <w:marBottom w:val="0"/>
          <w:divBdr>
            <w:top w:val="none" w:sz="0" w:space="0" w:color="auto"/>
            <w:left w:val="none" w:sz="0" w:space="0" w:color="auto"/>
            <w:bottom w:val="none" w:sz="0" w:space="0" w:color="auto"/>
            <w:right w:val="none" w:sz="0" w:space="0" w:color="auto"/>
          </w:divBdr>
          <w:divsChild>
            <w:div w:id="301736711">
              <w:marLeft w:val="0"/>
              <w:marRight w:val="0"/>
              <w:marTop w:val="0"/>
              <w:marBottom w:val="0"/>
              <w:divBdr>
                <w:top w:val="none" w:sz="0" w:space="0" w:color="auto"/>
                <w:left w:val="none" w:sz="0" w:space="0" w:color="auto"/>
                <w:bottom w:val="none" w:sz="0" w:space="0" w:color="auto"/>
                <w:right w:val="none" w:sz="0" w:space="0" w:color="auto"/>
              </w:divBdr>
            </w:div>
            <w:div w:id="1069038982">
              <w:marLeft w:val="0"/>
              <w:marRight w:val="0"/>
              <w:marTop w:val="0"/>
              <w:marBottom w:val="0"/>
              <w:divBdr>
                <w:top w:val="none" w:sz="0" w:space="0" w:color="auto"/>
                <w:left w:val="none" w:sz="0" w:space="0" w:color="auto"/>
                <w:bottom w:val="none" w:sz="0" w:space="0" w:color="auto"/>
                <w:right w:val="none" w:sz="0" w:space="0" w:color="auto"/>
              </w:divBdr>
              <w:divsChild>
                <w:div w:id="12751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123">
          <w:marLeft w:val="0"/>
          <w:marRight w:val="0"/>
          <w:marTop w:val="0"/>
          <w:marBottom w:val="0"/>
          <w:divBdr>
            <w:top w:val="none" w:sz="0" w:space="0" w:color="auto"/>
            <w:left w:val="none" w:sz="0" w:space="0" w:color="auto"/>
            <w:bottom w:val="none" w:sz="0" w:space="0" w:color="auto"/>
            <w:right w:val="none" w:sz="0" w:space="0" w:color="auto"/>
          </w:divBdr>
          <w:divsChild>
            <w:div w:id="1583291216">
              <w:marLeft w:val="0"/>
              <w:marRight w:val="0"/>
              <w:marTop w:val="0"/>
              <w:marBottom w:val="0"/>
              <w:divBdr>
                <w:top w:val="none" w:sz="0" w:space="0" w:color="auto"/>
                <w:left w:val="none" w:sz="0" w:space="0" w:color="auto"/>
                <w:bottom w:val="none" w:sz="0" w:space="0" w:color="auto"/>
                <w:right w:val="none" w:sz="0" w:space="0" w:color="auto"/>
              </w:divBdr>
            </w:div>
            <w:div w:id="1274244193">
              <w:marLeft w:val="0"/>
              <w:marRight w:val="0"/>
              <w:marTop w:val="0"/>
              <w:marBottom w:val="0"/>
              <w:divBdr>
                <w:top w:val="none" w:sz="0" w:space="0" w:color="auto"/>
                <w:left w:val="none" w:sz="0" w:space="0" w:color="auto"/>
                <w:bottom w:val="none" w:sz="0" w:space="0" w:color="auto"/>
                <w:right w:val="none" w:sz="0" w:space="0" w:color="auto"/>
              </w:divBdr>
              <w:divsChild>
                <w:div w:id="16194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2045">
          <w:marLeft w:val="0"/>
          <w:marRight w:val="0"/>
          <w:marTop w:val="0"/>
          <w:marBottom w:val="0"/>
          <w:divBdr>
            <w:top w:val="none" w:sz="0" w:space="0" w:color="auto"/>
            <w:left w:val="none" w:sz="0" w:space="0" w:color="auto"/>
            <w:bottom w:val="none" w:sz="0" w:space="0" w:color="auto"/>
            <w:right w:val="none" w:sz="0" w:space="0" w:color="auto"/>
          </w:divBdr>
          <w:divsChild>
            <w:div w:id="706834393">
              <w:marLeft w:val="0"/>
              <w:marRight w:val="0"/>
              <w:marTop w:val="0"/>
              <w:marBottom w:val="0"/>
              <w:divBdr>
                <w:top w:val="none" w:sz="0" w:space="0" w:color="auto"/>
                <w:left w:val="none" w:sz="0" w:space="0" w:color="auto"/>
                <w:bottom w:val="none" w:sz="0" w:space="0" w:color="auto"/>
                <w:right w:val="none" w:sz="0" w:space="0" w:color="auto"/>
              </w:divBdr>
            </w:div>
            <w:div w:id="144396702">
              <w:marLeft w:val="0"/>
              <w:marRight w:val="0"/>
              <w:marTop w:val="0"/>
              <w:marBottom w:val="0"/>
              <w:divBdr>
                <w:top w:val="none" w:sz="0" w:space="0" w:color="auto"/>
                <w:left w:val="none" w:sz="0" w:space="0" w:color="auto"/>
                <w:bottom w:val="none" w:sz="0" w:space="0" w:color="auto"/>
                <w:right w:val="none" w:sz="0" w:space="0" w:color="auto"/>
              </w:divBdr>
              <w:divsChild>
                <w:div w:id="1186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50961">
          <w:marLeft w:val="0"/>
          <w:marRight w:val="0"/>
          <w:marTop w:val="0"/>
          <w:marBottom w:val="0"/>
          <w:divBdr>
            <w:top w:val="none" w:sz="0" w:space="0" w:color="auto"/>
            <w:left w:val="none" w:sz="0" w:space="0" w:color="auto"/>
            <w:bottom w:val="none" w:sz="0" w:space="0" w:color="auto"/>
            <w:right w:val="none" w:sz="0" w:space="0" w:color="auto"/>
          </w:divBdr>
          <w:divsChild>
            <w:div w:id="382801013">
              <w:marLeft w:val="0"/>
              <w:marRight w:val="0"/>
              <w:marTop w:val="0"/>
              <w:marBottom w:val="0"/>
              <w:divBdr>
                <w:top w:val="none" w:sz="0" w:space="0" w:color="auto"/>
                <w:left w:val="none" w:sz="0" w:space="0" w:color="auto"/>
                <w:bottom w:val="none" w:sz="0" w:space="0" w:color="auto"/>
                <w:right w:val="none" w:sz="0" w:space="0" w:color="auto"/>
              </w:divBdr>
            </w:div>
            <w:div w:id="1397361026">
              <w:marLeft w:val="0"/>
              <w:marRight w:val="0"/>
              <w:marTop w:val="0"/>
              <w:marBottom w:val="0"/>
              <w:divBdr>
                <w:top w:val="none" w:sz="0" w:space="0" w:color="auto"/>
                <w:left w:val="none" w:sz="0" w:space="0" w:color="auto"/>
                <w:bottom w:val="none" w:sz="0" w:space="0" w:color="auto"/>
                <w:right w:val="none" w:sz="0" w:space="0" w:color="auto"/>
              </w:divBdr>
              <w:divsChild>
                <w:div w:id="15070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8553">
          <w:marLeft w:val="0"/>
          <w:marRight w:val="0"/>
          <w:marTop w:val="0"/>
          <w:marBottom w:val="0"/>
          <w:divBdr>
            <w:top w:val="none" w:sz="0" w:space="0" w:color="auto"/>
            <w:left w:val="none" w:sz="0" w:space="0" w:color="auto"/>
            <w:bottom w:val="none" w:sz="0" w:space="0" w:color="auto"/>
            <w:right w:val="none" w:sz="0" w:space="0" w:color="auto"/>
          </w:divBdr>
          <w:divsChild>
            <w:div w:id="1189097595">
              <w:marLeft w:val="0"/>
              <w:marRight w:val="0"/>
              <w:marTop w:val="0"/>
              <w:marBottom w:val="0"/>
              <w:divBdr>
                <w:top w:val="none" w:sz="0" w:space="0" w:color="auto"/>
                <w:left w:val="none" w:sz="0" w:space="0" w:color="auto"/>
                <w:bottom w:val="none" w:sz="0" w:space="0" w:color="auto"/>
                <w:right w:val="none" w:sz="0" w:space="0" w:color="auto"/>
              </w:divBdr>
            </w:div>
            <w:div w:id="615327716">
              <w:marLeft w:val="0"/>
              <w:marRight w:val="0"/>
              <w:marTop w:val="0"/>
              <w:marBottom w:val="0"/>
              <w:divBdr>
                <w:top w:val="none" w:sz="0" w:space="0" w:color="auto"/>
                <w:left w:val="none" w:sz="0" w:space="0" w:color="auto"/>
                <w:bottom w:val="none" w:sz="0" w:space="0" w:color="auto"/>
                <w:right w:val="none" w:sz="0" w:space="0" w:color="auto"/>
              </w:divBdr>
              <w:divsChild>
                <w:div w:id="345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7435">
          <w:marLeft w:val="0"/>
          <w:marRight w:val="0"/>
          <w:marTop w:val="0"/>
          <w:marBottom w:val="0"/>
          <w:divBdr>
            <w:top w:val="none" w:sz="0" w:space="0" w:color="auto"/>
            <w:left w:val="none" w:sz="0" w:space="0" w:color="auto"/>
            <w:bottom w:val="none" w:sz="0" w:space="0" w:color="auto"/>
            <w:right w:val="none" w:sz="0" w:space="0" w:color="auto"/>
          </w:divBdr>
          <w:divsChild>
            <w:div w:id="111363276">
              <w:marLeft w:val="0"/>
              <w:marRight w:val="0"/>
              <w:marTop w:val="0"/>
              <w:marBottom w:val="0"/>
              <w:divBdr>
                <w:top w:val="none" w:sz="0" w:space="0" w:color="auto"/>
                <w:left w:val="none" w:sz="0" w:space="0" w:color="auto"/>
                <w:bottom w:val="none" w:sz="0" w:space="0" w:color="auto"/>
                <w:right w:val="none" w:sz="0" w:space="0" w:color="auto"/>
              </w:divBdr>
            </w:div>
            <w:div w:id="458577027">
              <w:marLeft w:val="0"/>
              <w:marRight w:val="0"/>
              <w:marTop w:val="0"/>
              <w:marBottom w:val="0"/>
              <w:divBdr>
                <w:top w:val="none" w:sz="0" w:space="0" w:color="auto"/>
                <w:left w:val="none" w:sz="0" w:space="0" w:color="auto"/>
                <w:bottom w:val="none" w:sz="0" w:space="0" w:color="auto"/>
                <w:right w:val="none" w:sz="0" w:space="0" w:color="auto"/>
              </w:divBdr>
              <w:divsChild>
                <w:div w:id="15676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6899">
          <w:marLeft w:val="0"/>
          <w:marRight w:val="0"/>
          <w:marTop w:val="0"/>
          <w:marBottom w:val="0"/>
          <w:divBdr>
            <w:top w:val="none" w:sz="0" w:space="0" w:color="auto"/>
            <w:left w:val="none" w:sz="0" w:space="0" w:color="auto"/>
            <w:bottom w:val="none" w:sz="0" w:space="0" w:color="auto"/>
            <w:right w:val="none" w:sz="0" w:space="0" w:color="auto"/>
          </w:divBdr>
          <w:divsChild>
            <w:div w:id="254941606">
              <w:marLeft w:val="0"/>
              <w:marRight w:val="0"/>
              <w:marTop w:val="0"/>
              <w:marBottom w:val="0"/>
              <w:divBdr>
                <w:top w:val="none" w:sz="0" w:space="0" w:color="auto"/>
                <w:left w:val="none" w:sz="0" w:space="0" w:color="auto"/>
                <w:bottom w:val="none" w:sz="0" w:space="0" w:color="auto"/>
                <w:right w:val="none" w:sz="0" w:space="0" w:color="auto"/>
              </w:divBdr>
            </w:div>
            <w:div w:id="14772162">
              <w:marLeft w:val="0"/>
              <w:marRight w:val="0"/>
              <w:marTop w:val="0"/>
              <w:marBottom w:val="0"/>
              <w:divBdr>
                <w:top w:val="none" w:sz="0" w:space="0" w:color="auto"/>
                <w:left w:val="none" w:sz="0" w:space="0" w:color="auto"/>
                <w:bottom w:val="none" w:sz="0" w:space="0" w:color="auto"/>
                <w:right w:val="none" w:sz="0" w:space="0" w:color="auto"/>
              </w:divBdr>
              <w:divsChild>
                <w:div w:id="195120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17383">
      <w:bodyDiv w:val="1"/>
      <w:marLeft w:val="0"/>
      <w:marRight w:val="0"/>
      <w:marTop w:val="0"/>
      <w:marBottom w:val="0"/>
      <w:divBdr>
        <w:top w:val="none" w:sz="0" w:space="0" w:color="auto"/>
        <w:left w:val="none" w:sz="0" w:space="0" w:color="auto"/>
        <w:bottom w:val="none" w:sz="0" w:space="0" w:color="auto"/>
        <w:right w:val="none" w:sz="0" w:space="0" w:color="auto"/>
      </w:divBdr>
    </w:div>
    <w:div w:id="776028849">
      <w:bodyDiv w:val="1"/>
      <w:marLeft w:val="0"/>
      <w:marRight w:val="0"/>
      <w:marTop w:val="0"/>
      <w:marBottom w:val="0"/>
      <w:divBdr>
        <w:top w:val="none" w:sz="0" w:space="0" w:color="auto"/>
        <w:left w:val="none" w:sz="0" w:space="0" w:color="auto"/>
        <w:bottom w:val="none" w:sz="0" w:space="0" w:color="auto"/>
        <w:right w:val="none" w:sz="0" w:space="0" w:color="auto"/>
      </w:divBdr>
    </w:div>
    <w:div w:id="811868821">
      <w:bodyDiv w:val="1"/>
      <w:marLeft w:val="0"/>
      <w:marRight w:val="0"/>
      <w:marTop w:val="0"/>
      <w:marBottom w:val="0"/>
      <w:divBdr>
        <w:top w:val="none" w:sz="0" w:space="0" w:color="auto"/>
        <w:left w:val="none" w:sz="0" w:space="0" w:color="auto"/>
        <w:bottom w:val="none" w:sz="0" w:space="0" w:color="auto"/>
        <w:right w:val="none" w:sz="0" w:space="0" w:color="auto"/>
      </w:divBdr>
    </w:div>
    <w:div w:id="850527360">
      <w:bodyDiv w:val="1"/>
      <w:marLeft w:val="0"/>
      <w:marRight w:val="0"/>
      <w:marTop w:val="0"/>
      <w:marBottom w:val="0"/>
      <w:divBdr>
        <w:top w:val="none" w:sz="0" w:space="0" w:color="auto"/>
        <w:left w:val="none" w:sz="0" w:space="0" w:color="auto"/>
        <w:bottom w:val="none" w:sz="0" w:space="0" w:color="auto"/>
        <w:right w:val="none" w:sz="0" w:space="0" w:color="auto"/>
      </w:divBdr>
    </w:div>
    <w:div w:id="851146499">
      <w:bodyDiv w:val="1"/>
      <w:marLeft w:val="0"/>
      <w:marRight w:val="0"/>
      <w:marTop w:val="0"/>
      <w:marBottom w:val="0"/>
      <w:divBdr>
        <w:top w:val="none" w:sz="0" w:space="0" w:color="auto"/>
        <w:left w:val="none" w:sz="0" w:space="0" w:color="auto"/>
        <w:bottom w:val="none" w:sz="0" w:space="0" w:color="auto"/>
        <w:right w:val="none" w:sz="0" w:space="0" w:color="auto"/>
      </w:divBdr>
    </w:div>
    <w:div w:id="912664537">
      <w:bodyDiv w:val="1"/>
      <w:marLeft w:val="0"/>
      <w:marRight w:val="0"/>
      <w:marTop w:val="0"/>
      <w:marBottom w:val="0"/>
      <w:divBdr>
        <w:top w:val="none" w:sz="0" w:space="0" w:color="auto"/>
        <w:left w:val="none" w:sz="0" w:space="0" w:color="auto"/>
        <w:bottom w:val="none" w:sz="0" w:space="0" w:color="auto"/>
        <w:right w:val="none" w:sz="0" w:space="0" w:color="auto"/>
      </w:divBdr>
    </w:div>
    <w:div w:id="916982285">
      <w:bodyDiv w:val="1"/>
      <w:marLeft w:val="0"/>
      <w:marRight w:val="0"/>
      <w:marTop w:val="0"/>
      <w:marBottom w:val="0"/>
      <w:divBdr>
        <w:top w:val="none" w:sz="0" w:space="0" w:color="auto"/>
        <w:left w:val="none" w:sz="0" w:space="0" w:color="auto"/>
        <w:bottom w:val="none" w:sz="0" w:space="0" w:color="auto"/>
        <w:right w:val="none" w:sz="0" w:space="0" w:color="auto"/>
      </w:divBdr>
    </w:div>
    <w:div w:id="942614430">
      <w:bodyDiv w:val="1"/>
      <w:marLeft w:val="0"/>
      <w:marRight w:val="0"/>
      <w:marTop w:val="0"/>
      <w:marBottom w:val="0"/>
      <w:divBdr>
        <w:top w:val="none" w:sz="0" w:space="0" w:color="auto"/>
        <w:left w:val="none" w:sz="0" w:space="0" w:color="auto"/>
        <w:bottom w:val="none" w:sz="0" w:space="0" w:color="auto"/>
        <w:right w:val="none" w:sz="0" w:space="0" w:color="auto"/>
      </w:divBdr>
    </w:div>
    <w:div w:id="984353991">
      <w:bodyDiv w:val="1"/>
      <w:marLeft w:val="0"/>
      <w:marRight w:val="0"/>
      <w:marTop w:val="0"/>
      <w:marBottom w:val="0"/>
      <w:divBdr>
        <w:top w:val="none" w:sz="0" w:space="0" w:color="auto"/>
        <w:left w:val="none" w:sz="0" w:space="0" w:color="auto"/>
        <w:bottom w:val="none" w:sz="0" w:space="0" w:color="auto"/>
        <w:right w:val="none" w:sz="0" w:space="0" w:color="auto"/>
      </w:divBdr>
      <w:divsChild>
        <w:div w:id="421151066">
          <w:marLeft w:val="0"/>
          <w:marRight w:val="0"/>
          <w:marTop w:val="0"/>
          <w:marBottom w:val="0"/>
          <w:divBdr>
            <w:top w:val="none" w:sz="0" w:space="0" w:color="auto"/>
            <w:left w:val="none" w:sz="0" w:space="0" w:color="auto"/>
            <w:bottom w:val="none" w:sz="0" w:space="0" w:color="auto"/>
            <w:right w:val="none" w:sz="0" w:space="0" w:color="auto"/>
          </w:divBdr>
          <w:divsChild>
            <w:div w:id="1278561141">
              <w:marLeft w:val="0"/>
              <w:marRight w:val="0"/>
              <w:marTop w:val="0"/>
              <w:marBottom w:val="0"/>
              <w:divBdr>
                <w:top w:val="none" w:sz="0" w:space="0" w:color="auto"/>
                <w:left w:val="none" w:sz="0" w:space="0" w:color="auto"/>
                <w:bottom w:val="none" w:sz="0" w:space="0" w:color="auto"/>
                <w:right w:val="none" w:sz="0" w:space="0" w:color="auto"/>
              </w:divBdr>
            </w:div>
            <w:div w:id="2060396864">
              <w:marLeft w:val="0"/>
              <w:marRight w:val="0"/>
              <w:marTop w:val="0"/>
              <w:marBottom w:val="0"/>
              <w:divBdr>
                <w:top w:val="none" w:sz="0" w:space="0" w:color="auto"/>
                <w:left w:val="none" w:sz="0" w:space="0" w:color="auto"/>
                <w:bottom w:val="none" w:sz="0" w:space="0" w:color="auto"/>
                <w:right w:val="none" w:sz="0" w:space="0" w:color="auto"/>
              </w:divBdr>
              <w:divsChild>
                <w:div w:id="19853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5095">
          <w:marLeft w:val="0"/>
          <w:marRight w:val="0"/>
          <w:marTop w:val="0"/>
          <w:marBottom w:val="0"/>
          <w:divBdr>
            <w:top w:val="none" w:sz="0" w:space="0" w:color="auto"/>
            <w:left w:val="none" w:sz="0" w:space="0" w:color="auto"/>
            <w:bottom w:val="none" w:sz="0" w:space="0" w:color="auto"/>
            <w:right w:val="none" w:sz="0" w:space="0" w:color="auto"/>
          </w:divBdr>
          <w:divsChild>
            <w:div w:id="1178275478">
              <w:marLeft w:val="0"/>
              <w:marRight w:val="0"/>
              <w:marTop w:val="0"/>
              <w:marBottom w:val="0"/>
              <w:divBdr>
                <w:top w:val="none" w:sz="0" w:space="0" w:color="auto"/>
                <w:left w:val="none" w:sz="0" w:space="0" w:color="auto"/>
                <w:bottom w:val="none" w:sz="0" w:space="0" w:color="auto"/>
                <w:right w:val="none" w:sz="0" w:space="0" w:color="auto"/>
              </w:divBdr>
            </w:div>
            <w:div w:id="50815872">
              <w:marLeft w:val="0"/>
              <w:marRight w:val="0"/>
              <w:marTop w:val="0"/>
              <w:marBottom w:val="0"/>
              <w:divBdr>
                <w:top w:val="none" w:sz="0" w:space="0" w:color="auto"/>
                <w:left w:val="none" w:sz="0" w:space="0" w:color="auto"/>
                <w:bottom w:val="none" w:sz="0" w:space="0" w:color="auto"/>
                <w:right w:val="none" w:sz="0" w:space="0" w:color="auto"/>
              </w:divBdr>
              <w:divsChild>
                <w:div w:id="2374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167">
          <w:marLeft w:val="0"/>
          <w:marRight w:val="0"/>
          <w:marTop w:val="0"/>
          <w:marBottom w:val="0"/>
          <w:divBdr>
            <w:top w:val="none" w:sz="0" w:space="0" w:color="auto"/>
            <w:left w:val="none" w:sz="0" w:space="0" w:color="auto"/>
            <w:bottom w:val="none" w:sz="0" w:space="0" w:color="auto"/>
            <w:right w:val="none" w:sz="0" w:space="0" w:color="auto"/>
          </w:divBdr>
          <w:divsChild>
            <w:div w:id="102264337">
              <w:marLeft w:val="0"/>
              <w:marRight w:val="0"/>
              <w:marTop w:val="0"/>
              <w:marBottom w:val="0"/>
              <w:divBdr>
                <w:top w:val="none" w:sz="0" w:space="0" w:color="auto"/>
                <w:left w:val="none" w:sz="0" w:space="0" w:color="auto"/>
                <w:bottom w:val="none" w:sz="0" w:space="0" w:color="auto"/>
                <w:right w:val="none" w:sz="0" w:space="0" w:color="auto"/>
              </w:divBdr>
            </w:div>
            <w:div w:id="447699590">
              <w:marLeft w:val="0"/>
              <w:marRight w:val="0"/>
              <w:marTop w:val="0"/>
              <w:marBottom w:val="0"/>
              <w:divBdr>
                <w:top w:val="none" w:sz="0" w:space="0" w:color="auto"/>
                <w:left w:val="none" w:sz="0" w:space="0" w:color="auto"/>
                <w:bottom w:val="none" w:sz="0" w:space="0" w:color="auto"/>
                <w:right w:val="none" w:sz="0" w:space="0" w:color="auto"/>
              </w:divBdr>
              <w:divsChild>
                <w:div w:id="9315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7431">
          <w:marLeft w:val="0"/>
          <w:marRight w:val="0"/>
          <w:marTop w:val="0"/>
          <w:marBottom w:val="0"/>
          <w:divBdr>
            <w:top w:val="none" w:sz="0" w:space="0" w:color="auto"/>
            <w:left w:val="none" w:sz="0" w:space="0" w:color="auto"/>
            <w:bottom w:val="none" w:sz="0" w:space="0" w:color="auto"/>
            <w:right w:val="none" w:sz="0" w:space="0" w:color="auto"/>
          </w:divBdr>
          <w:divsChild>
            <w:div w:id="2123911552">
              <w:marLeft w:val="0"/>
              <w:marRight w:val="0"/>
              <w:marTop w:val="0"/>
              <w:marBottom w:val="0"/>
              <w:divBdr>
                <w:top w:val="none" w:sz="0" w:space="0" w:color="auto"/>
                <w:left w:val="none" w:sz="0" w:space="0" w:color="auto"/>
                <w:bottom w:val="none" w:sz="0" w:space="0" w:color="auto"/>
                <w:right w:val="none" w:sz="0" w:space="0" w:color="auto"/>
              </w:divBdr>
            </w:div>
            <w:div w:id="673191492">
              <w:marLeft w:val="0"/>
              <w:marRight w:val="0"/>
              <w:marTop w:val="0"/>
              <w:marBottom w:val="0"/>
              <w:divBdr>
                <w:top w:val="none" w:sz="0" w:space="0" w:color="auto"/>
                <w:left w:val="none" w:sz="0" w:space="0" w:color="auto"/>
                <w:bottom w:val="none" w:sz="0" w:space="0" w:color="auto"/>
                <w:right w:val="none" w:sz="0" w:space="0" w:color="auto"/>
              </w:divBdr>
              <w:divsChild>
                <w:div w:id="9278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6964">
          <w:marLeft w:val="0"/>
          <w:marRight w:val="0"/>
          <w:marTop w:val="0"/>
          <w:marBottom w:val="0"/>
          <w:divBdr>
            <w:top w:val="none" w:sz="0" w:space="0" w:color="auto"/>
            <w:left w:val="none" w:sz="0" w:space="0" w:color="auto"/>
            <w:bottom w:val="none" w:sz="0" w:space="0" w:color="auto"/>
            <w:right w:val="none" w:sz="0" w:space="0" w:color="auto"/>
          </w:divBdr>
          <w:divsChild>
            <w:div w:id="1975790598">
              <w:marLeft w:val="0"/>
              <w:marRight w:val="0"/>
              <w:marTop w:val="0"/>
              <w:marBottom w:val="0"/>
              <w:divBdr>
                <w:top w:val="none" w:sz="0" w:space="0" w:color="auto"/>
                <w:left w:val="none" w:sz="0" w:space="0" w:color="auto"/>
                <w:bottom w:val="none" w:sz="0" w:space="0" w:color="auto"/>
                <w:right w:val="none" w:sz="0" w:space="0" w:color="auto"/>
              </w:divBdr>
            </w:div>
            <w:div w:id="115568297">
              <w:marLeft w:val="0"/>
              <w:marRight w:val="0"/>
              <w:marTop w:val="0"/>
              <w:marBottom w:val="0"/>
              <w:divBdr>
                <w:top w:val="none" w:sz="0" w:space="0" w:color="auto"/>
                <w:left w:val="none" w:sz="0" w:space="0" w:color="auto"/>
                <w:bottom w:val="none" w:sz="0" w:space="0" w:color="auto"/>
                <w:right w:val="none" w:sz="0" w:space="0" w:color="auto"/>
              </w:divBdr>
              <w:divsChild>
                <w:div w:id="19902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0802">
          <w:marLeft w:val="0"/>
          <w:marRight w:val="0"/>
          <w:marTop w:val="0"/>
          <w:marBottom w:val="0"/>
          <w:divBdr>
            <w:top w:val="none" w:sz="0" w:space="0" w:color="auto"/>
            <w:left w:val="none" w:sz="0" w:space="0" w:color="auto"/>
            <w:bottom w:val="none" w:sz="0" w:space="0" w:color="auto"/>
            <w:right w:val="none" w:sz="0" w:space="0" w:color="auto"/>
          </w:divBdr>
          <w:divsChild>
            <w:div w:id="504783936">
              <w:marLeft w:val="0"/>
              <w:marRight w:val="0"/>
              <w:marTop w:val="0"/>
              <w:marBottom w:val="0"/>
              <w:divBdr>
                <w:top w:val="none" w:sz="0" w:space="0" w:color="auto"/>
                <w:left w:val="none" w:sz="0" w:space="0" w:color="auto"/>
                <w:bottom w:val="none" w:sz="0" w:space="0" w:color="auto"/>
                <w:right w:val="none" w:sz="0" w:space="0" w:color="auto"/>
              </w:divBdr>
            </w:div>
            <w:div w:id="499739417">
              <w:marLeft w:val="0"/>
              <w:marRight w:val="0"/>
              <w:marTop w:val="0"/>
              <w:marBottom w:val="0"/>
              <w:divBdr>
                <w:top w:val="none" w:sz="0" w:space="0" w:color="auto"/>
                <w:left w:val="none" w:sz="0" w:space="0" w:color="auto"/>
                <w:bottom w:val="none" w:sz="0" w:space="0" w:color="auto"/>
                <w:right w:val="none" w:sz="0" w:space="0" w:color="auto"/>
              </w:divBdr>
              <w:divsChild>
                <w:div w:id="1518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4987">
          <w:marLeft w:val="0"/>
          <w:marRight w:val="0"/>
          <w:marTop w:val="0"/>
          <w:marBottom w:val="0"/>
          <w:divBdr>
            <w:top w:val="none" w:sz="0" w:space="0" w:color="auto"/>
            <w:left w:val="none" w:sz="0" w:space="0" w:color="auto"/>
            <w:bottom w:val="none" w:sz="0" w:space="0" w:color="auto"/>
            <w:right w:val="none" w:sz="0" w:space="0" w:color="auto"/>
          </w:divBdr>
          <w:divsChild>
            <w:div w:id="1884370445">
              <w:marLeft w:val="0"/>
              <w:marRight w:val="0"/>
              <w:marTop w:val="0"/>
              <w:marBottom w:val="0"/>
              <w:divBdr>
                <w:top w:val="none" w:sz="0" w:space="0" w:color="auto"/>
                <w:left w:val="none" w:sz="0" w:space="0" w:color="auto"/>
                <w:bottom w:val="none" w:sz="0" w:space="0" w:color="auto"/>
                <w:right w:val="none" w:sz="0" w:space="0" w:color="auto"/>
              </w:divBdr>
            </w:div>
            <w:div w:id="1244074057">
              <w:marLeft w:val="0"/>
              <w:marRight w:val="0"/>
              <w:marTop w:val="0"/>
              <w:marBottom w:val="0"/>
              <w:divBdr>
                <w:top w:val="none" w:sz="0" w:space="0" w:color="auto"/>
                <w:left w:val="none" w:sz="0" w:space="0" w:color="auto"/>
                <w:bottom w:val="none" w:sz="0" w:space="0" w:color="auto"/>
                <w:right w:val="none" w:sz="0" w:space="0" w:color="auto"/>
              </w:divBdr>
              <w:divsChild>
                <w:div w:id="3870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5952">
          <w:marLeft w:val="0"/>
          <w:marRight w:val="0"/>
          <w:marTop w:val="0"/>
          <w:marBottom w:val="0"/>
          <w:divBdr>
            <w:top w:val="none" w:sz="0" w:space="0" w:color="auto"/>
            <w:left w:val="none" w:sz="0" w:space="0" w:color="auto"/>
            <w:bottom w:val="none" w:sz="0" w:space="0" w:color="auto"/>
            <w:right w:val="none" w:sz="0" w:space="0" w:color="auto"/>
          </w:divBdr>
          <w:divsChild>
            <w:div w:id="2147158384">
              <w:marLeft w:val="0"/>
              <w:marRight w:val="0"/>
              <w:marTop w:val="0"/>
              <w:marBottom w:val="0"/>
              <w:divBdr>
                <w:top w:val="none" w:sz="0" w:space="0" w:color="auto"/>
                <w:left w:val="none" w:sz="0" w:space="0" w:color="auto"/>
                <w:bottom w:val="none" w:sz="0" w:space="0" w:color="auto"/>
                <w:right w:val="none" w:sz="0" w:space="0" w:color="auto"/>
              </w:divBdr>
            </w:div>
            <w:div w:id="371535202">
              <w:marLeft w:val="0"/>
              <w:marRight w:val="0"/>
              <w:marTop w:val="0"/>
              <w:marBottom w:val="0"/>
              <w:divBdr>
                <w:top w:val="none" w:sz="0" w:space="0" w:color="auto"/>
                <w:left w:val="none" w:sz="0" w:space="0" w:color="auto"/>
                <w:bottom w:val="none" w:sz="0" w:space="0" w:color="auto"/>
                <w:right w:val="none" w:sz="0" w:space="0" w:color="auto"/>
              </w:divBdr>
              <w:divsChild>
                <w:div w:id="2397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28598">
          <w:marLeft w:val="0"/>
          <w:marRight w:val="0"/>
          <w:marTop w:val="0"/>
          <w:marBottom w:val="0"/>
          <w:divBdr>
            <w:top w:val="none" w:sz="0" w:space="0" w:color="auto"/>
            <w:left w:val="none" w:sz="0" w:space="0" w:color="auto"/>
            <w:bottom w:val="none" w:sz="0" w:space="0" w:color="auto"/>
            <w:right w:val="none" w:sz="0" w:space="0" w:color="auto"/>
          </w:divBdr>
          <w:divsChild>
            <w:div w:id="1488014446">
              <w:marLeft w:val="0"/>
              <w:marRight w:val="0"/>
              <w:marTop w:val="0"/>
              <w:marBottom w:val="0"/>
              <w:divBdr>
                <w:top w:val="none" w:sz="0" w:space="0" w:color="auto"/>
                <w:left w:val="none" w:sz="0" w:space="0" w:color="auto"/>
                <w:bottom w:val="none" w:sz="0" w:space="0" w:color="auto"/>
                <w:right w:val="none" w:sz="0" w:space="0" w:color="auto"/>
              </w:divBdr>
            </w:div>
            <w:div w:id="613635415">
              <w:marLeft w:val="0"/>
              <w:marRight w:val="0"/>
              <w:marTop w:val="0"/>
              <w:marBottom w:val="0"/>
              <w:divBdr>
                <w:top w:val="none" w:sz="0" w:space="0" w:color="auto"/>
                <w:left w:val="none" w:sz="0" w:space="0" w:color="auto"/>
                <w:bottom w:val="none" w:sz="0" w:space="0" w:color="auto"/>
                <w:right w:val="none" w:sz="0" w:space="0" w:color="auto"/>
              </w:divBdr>
              <w:divsChild>
                <w:div w:id="10097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6267">
          <w:marLeft w:val="0"/>
          <w:marRight w:val="0"/>
          <w:marTop w:val="0"/>
          <w:marBottom w:val="0"/>
          <w:divBdr>
            <w:top w:val="none" w:sz="0" w:space="0" w:color="auto"/>
            <w:left w:val="none" w:sz="0" w:space="0" w:color="auto"/>
            <w:bottom w:val="none" w:sz="0" w:space="0" w:color="auto"/>
            <w:right w:val="none" w:sz="0" w:space="0" w:color="auto"/>
          </w:divBdr>
          <w:divsChild>
            <w:div w:id="1726834418">
              <w:marLeft w:val="0"/>
              <w:marRight w:val="0"/>
              <w:marTop w:val="0"/>
              <w:marBottom w:val="0"/>
              <w:divBdr>
                <w:top w:val="none" w:sz="0" w:space="0" w:color="auto"/>
                <w:left w:val="none" w:sz="0" w:space="0" w:color="auto"/>
                <w:bottom w:val="none" w:sz="0" w:space="0" w:color="auto"/>
                <w:right w:val="none" w:sz="0" w:space="0" w:color="auto"/>
              </w:divBdr>
            </w:div>
            <w:div w:id="1454447360">
              <w:marLeft w:val="0"/>
              <w:marRight w:val="0"/>
              <w:marTop w:val="0"/>
              <w:marBottom w:val="0"/>
              <w:divBdr>
                <w:top w:val="none" w:sz="0" w:space="0" w:color="auto"/>
                <w:left w:val="none" w:sz="0" w:space="0" w:color="auto"/>
                <w:bottom w:val="none" w:sz="0" w:space="0" w:color="auto"/>
                <w:right w:val="none" w:sz="0" w:space="0" w:color="auto"/>
              </w:divBdr>
              <w:divsChild>
                <w:div w:id="21194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12079">
          <w:marLeft w:val="0"/>
          <w:marRight w:val="0"/>
          <w:marTop w:val="0"/>
          <w:marBottom w:val="0"/>
          <w:divBdr>
            <w:top w:val="none" w:sz="0" w:space="0" w:color="auto"/>
            <w:left w:val="none" w:sz="0" w:space="0" w:color="auto"/>
            <w:bottom w:val="none" w:sz="0" w:space="0" w:color="auto"/>
            <w:right w:val="none" w:sz="0" w:space="0" w:color="auto"/>
          </w:divBdr>
          <w:divsChild>
            <w:div w:id="1492257525">
              <w:marLeft w:val="0"/>
              <w:marRight w:val="0"/>
              <w:marTop w:val="0"/>
              <w:marBottom w:val="0"/>
              <w:divBdr>
                <w:top w:val="none" w:sz="0" w:space="0" w:color="auto"/>
                <w:left w:val="none" w:sz="0" w:space="0" w:color="auto"/>
                <w:bottom w:val="none" w:sz="0" w:space="0" w:color="auto"/>
                <w:right w:val="none" w:sz="0" w:space="0" w:color="auto"/>
              </w:divBdr>
            </w:div>
            <w:div w:id="1507482434">
              <w:marLeft w:val="0"/>
              <w:marRight w:val="0"/>
              <w:marTop w:val="0"/>
              <w:marBottom w:val="0"/>
              <w:divBdr>
                <w:top w:val="none" w:sz="0" w:space="0" w:color="auto"/>
                <w:left w:val="none" w:sz="0" w:space="0" w:color="auto"/>
                <w:bottom w:val="none" w:sz="0" w:space="0" w:color="auto"/>
                <w:right w:val="none" w:sz="0" w:space="0" w:color="auto"/>
              </w:divBdr>
              <w:divsChild>
                <w:div w:id="15663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8732">
          <w:marLeft w:val="0"/>
          <w:marRight w:val="0"/>
          <w:marTop w:val="0"/>
          <w:marBottom w:val="0"/>
          <w:divBdr>
            <w:top w:val="none" w:sz="0" w:space="0" w:color="auto"/>
            <w:left w:val="none" w:sz="0" w:space="0" w:color="auto"/>
            <w:bottom w:val="none" w:sz="0" w:space="0" w:color="auto"/>
            <w:right w:val="none" w:sz="0" w:space="0" w:color="auto"/>
          </w:divBdr>
          <w:divsChild>
            <w:div w:id="1448046261">
              <w:marLeft w:val="0"/>
              <w:marRight w:val="0"/>
              <w:marTop w:val="0"/>
              <w:marBottom w:val="0"/>
              <w:divBdr>
                <w:top w:val="none" w:sz="0" w:space="0" w:color="auto"/>
                <w:left w:val="none" w:sz="0" w:space="0" w:color="auto"/>
                <w:bottom w:val="none" w:sz="0" w:space="0" w:color="auto"/>
                <w:right w:val="none" w:sz="0" w:space="0" w:color="auto"/>
              </w:divBdr>
            </w:div>
            <w:div w:id="1236628285">
              <w:marLeft w:val="0"/>
              <w:marRight w:val="0"/>
              <w:marTop w:val="0"/>
              <w:marBottom w:val="0"/>
              <w:divBdr>
                <w:top w:val="none" w:sz="0" w:space="0" w:color="auto"/>
                <w:left w:val="none" w:sz="0" w:space="0" w:color="auto"/>
                <w:bottom w:val="none" w:sz="0" w:space="0" w:color="auto"/>
                <w:right w:val="none" w:sz="0" w:space="0" w:color="auto"/>
              </w:divBdr>
              <w:divsChild>
                <w:div w:id="9525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0333">
          <w:marLeft w:val="0"/>
          <w:marRight w:val="0"/>
          <w:marTop w:val="0"/>
          <w:marBottom w:val="0"/>
          <w:divBdr>
            <w:top w:val="none" w:sz="0" w:space="0" w:color="auto"/>
            <w:left w:val="none" w:sz="0" w:space="0" w:color="auto"/>
            <w:bottom w:val="none" w:sz="0" w:space="0" w:color="auto"/>
            <w:right w:val="none" w:sz="0" w:space="0" w:color="auto"/>
          </w:divBdr>
          <w:divsChild>
            <w:div w:id="938951890">
              <w:marLeft w:val="0"/>
              <w:marRight w:val="0"/>
              <w:marTop w:val="0"/>
              <w:marBottom w:val="0"/>
              <w:divBdr>
                <w:top w:val="none" w:sz="0" w:space="0" w:color="auto"/>
                <w:left w:val="none" w:sz="0" w:space="0" w:color="auto"/>
                <w:bottom w:val="none" w:sz="0" w:space="0" w:color="auto"/>
                <w:right w:val="none" w:sz="0" w:space="0" w:color="auto"/>
              </w:divBdr>
            </w:div>
            <w:div w:id="90782474">
              <w:marLeft w:val="0"/>
              <w:marRight w:val="0"/>
              <w:marTop w:val="0"/>
              <w:marBottom w:val="0"/>
              <w:divBdr>
                <w:top w:val="none" w:sz="0" w:space="0" w:color="auto"/>
                <w:left w:val="none" w:sz="0" w:space="0" w:color="auto"/>
                <w:bottom w:val="none" w:sz="0" w:space="0" w:color="auto"/>
                <w:right w:val="none" w:sz="0" w:space="0" w:color="auto"/>
              </w:divBdr>
              <w:divsChild>
                <w:div w:id="10201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229092">
      <w:bodyDiv w:val="1"/>
      <w:marLeft w:val="0"/>
      <w:marRight w:val="0"/>
      <w:marTop w:val="0"/>
      <w:marBottom w:val="0"/>
      <w:divBdr>
        <w:top w:val="none" w:sz="0" w:space="0" w:color="auto"/>
        <w:left w:val="none" w:sz="0" w:space="0" w:color="auto"/>
        <w:bottom w:val="none" w:sz="0" w:space="0" w:color="auto"/>
        <w:right w:val="none" w:sz="0" w:space="0" w:color="auto"/>
      </w:divBdr>
    </w:div>
    <w:div w:id="1130325358">
      <w:bodyDiv w:val="1"/>
      <w:marLeft w:val="0"/>
      <w:marRight w:val="0"/>
      <w:marTop w:val="0"/>
      <w:marBottom w:val="0"/>
      <w:divBdr>
        <w:top w:val="none" w:sz="0" w:space="0" w:color="auto"/>
        <w:left w:val="none" w:sz="0" w:space="0" w:color="auto"/>
        <w:bottom w:val="none" w:sz="0" w:space="0" w:color="auto"/>
        <w:right w:val="none" w:sz="0" w:space="0" w:color="auto"/>
      </w:divBdr>
    </w:div>
    <w:div w:id="1212157452">
      <w:bodyDiv w:val="1"/>
      <w:marLeft w:val="0"/>
      <w:marRight w:val="0"/>
      <w:marTop w:val="0"/>
      <w:marBottom w:val="0"/>
      <w:divBdr>
        <w:top w:val="none" w:sz="0" w:space="0" w:color="auto"/>
        <w:left w:val="none" w:sz="0" w:space="0" w:color="auto"/>
        <w:bottom w:val="none" w:sz="0" w:space="0" w:color="auto"/>
        <w:right w:val="none" w:sz="0" w:space="0" w:color="auto"/>
      </w:divBdr>
    </w:div>
    <w:div w:id="1311980480">
      <w:bodyDiv w:val="1"/>
      <w:marLeft w:val="0"/>
      <w:marRight w:val="0"/>
      <w:marTop w:val="0"/>
      <w:marBottom w:val="0"/>
      <w:divBdr>
        <w:top w:val="none" w:sz="0" w:space="0" w:color="auto"/>
        <w:left w:val="none" w:sz="0" w:space="0" w:color="auto"/>
        <w:bottom w:val="none" w:sz="0" w:space="0" w:color="auto"/>
        <w:right w:val="none" w:sz="0" w:space="0" w:color="auto"/>
      </w:divBdr>
    </w:div>
    <w:div w:id="1474131668">
      <w:bodyDiv w:val="1"/>
      <w:marLeft w:val="0"/>
      <w:marRight w:val="0"/>
      <w:marTop w:val="0"/>
      <w:marBottom w:val="0"/>
      <w:divBdr>
        <w:top w:val="none" w:sz="0" w:space="0" w:color="auto"/>
        <w:left w:val="none" w:sz="0" w:space="0" w:color="auto"/>
        <w:bottom w:val="none" w:sz="0" w:space="0" w:color="auto"/>
        <w:right w:val="none" w:sz="0" w:space="0" w:color="auto"/>
      </w:divBdr>
    </w:div>
    <w:div w:id="1646080888">
      <w:bodyDiv w:val="1"/>
      <w:marLeft w:val="0"/>
      <w:marRight w:val="0"/>
      <w:marTop w:val="0"/>
      <w:marBottom w:val="0"/>
      <w:divBdr>
        <w:top w:val="none" w:sz="0" w:space="0" w:color="auto"/>
        <w:left w:val="none" w:sz="0" w:space="0" w:color="auto"/>
        <w:bottom w:val="none" w:sz="0" w:space="0" w:color="auto"/>
        <w:right w:val="none" w:sz="0" w:space="0" w:color="auto"/>
      </w:divBdr>
    </w:div>
    <w:div w:id="1657414799">
      <w:bodyDiv w:val="1"/>
      <w:marLeft w:val="0"/>
      <w:marRight w:val="0"/>
      <w:marTop w:val="0"/>
      <w:marBottom w:val="0"/>
      <w:divBdr>
        <w:top w:val="none" w:sz="0" w:space="0" w:color="auto"/>
        <w:left w:val="none" w:sz="0" w:space="0" w:color="auto"/>
        <w:bottom w:val="none" w:sz="0" w:space="0" w:color="auto"/>
        <w:right w:val="none" w:sz="0" w:space="0" w:color="auto"/>
      </w:divBdr>
    </w:div>
    <w:div w:id="1717120618">
      <w:bodyDiv w:val="1"/>
      <w:marLeft w:val="0"/>
      <w:marRight w:val="0"/>
      <w:marTop w:val="0"/>
      <w:marBottom w:val="0"/>
      <w:divBdr>
        <w:top w:val="none" w:sz="0" w:space="0" w:color="auto"/>
        <w:left w:val="none" w:sz="0" w:space="0" w:color="auto"/>
        <w:bottom w:val="none" w:sz="0" w:space="0" w:color="auto"/>
        <w:right w:val="none" w:sz="0" w:space="0" w:color="auto"/>
      </w:divBdr>
    </w:div>
    <w:div w:id="1796289864">
      <w:bodyDiv w:val="1"/>
      <w:marLeft w:val="0"/>
      <w:marRight w:val="0"/>
      <w:marTop w:val="0"/>
      <w:marBottom w:val="0"/>
      <w:divBdr>
        <w:top w:val="none" w:sz="0" w:space="0" w:color="auto"/>
        <w:left w:val="none" w:sz="0" w:space="0" w:color="auto"/>
        <w:bottom w:val="none" w:sz="0" w:space="0" w:color="auto"/>
        <w:right w:val="none" w:sz="0" w:space="0" w:color="auto"/>
      </w:divBdr>
    </w:div>
    <w:div w:id="1817454257">
      <w:bodyDiv w:val="1"/>
      <w:marLeft w:val="0"/>
      <w:marRight w:val="0"/>
      <w:marTop w:val="0"/>
      <w:marBottom w:val="0"/>
      <w:divBdr>
        <w:top w:val="none" w:sz="0" w:space="0" w:color="auto"/>
        <w:left w:val="none" w:sz="0" w:space="0" w:color="auto"/>
        <w:bottom w:val="none" w:sz="0" w:space="0" w:color="auto"/>
        <w:right w:val="none" w:sz="0" w:space="0" w:color="auto"/>
      </w:divBdr>
    </w:div>
    <w:div w:id="1855263218">
      <w:bodyDiv w:val="1"/>
      <w:marLeft w:val="0"/>
      <w:marRight w:val="0"/>
      <w:marTop w:val="0"/>
      <w:marBottom w:val="0"/>
      <w:divBdr>
        <w:top w:val="none" w:sz="0" w:space="0" w:color="auto"/>
        <w:left w:val="none" w:sz="0" w:space="0" w:color="auto"/>
        <w:bottom w:val="none" w:sz="0" w:space="0" w:color="auto"/>
        <w:right w:val="none" w:sz="0" w:space="0" w:color="auto"/>
      </w:divBdr>
    </w:div>
    <w:div w:id="1898470232">
      <w:bodyDiv w:val="1"/>
      <w:marLeft w:val="0"/>
      <w:marRight w:val="0"/>
      <w:marTop w:val="0"/>
      <w:marBottom w:val="0"/>
      <w:divBdr>
        <w:top w:val="none" w:sz="0" w:space="0" w:color="auto"/>
        <w:left w:val="none" w:sz="0" w:space="0" w:color="auto"/>
        <w:bottom w:val="none" w:sz="0" w:space="0" w:color="auto"/>
        <w:right w:val="none" w:sz="0" w:space="0" w:color="auto"/>
      </w:divBdr>
    </w:div>
    <w:div w:id="2075855729">
      <w:bodyDiv w:val="1"/>
      <w:marLeft w:val="0"/>
      <w:marRight w:val="0"/>
      <w:marTop w:val="0"/>
      <w:marBottom w:val="0"/>
      <w:divBdr>
        <w:top w:val="none" w:sz="0" w:space="0" w:color="auto"/>
        <w:left w:val="none" w:sz="0" w:space="0" w:color="auto"/>
        <w:bottom w:val="none" w:sz="0" w:space="0" w:color="auto"/>
        <w:right w:val="none" w:sz="0" w:space="0" w:color="auto"/>
      </w:divBdr>
    </w:div>
    <w:div w:id="2102680597">
      <w:bodyDiv w:val="1"/>
      <w:marLeft w:val="0"/>
      <w:marRight w:val="0"/>
      <w:marTop w:val="0"/>
      <w:marBottom w:val="0"/>
      <w:divBdr>
        <w:top w:val="none" w:sz="0" w:space="0" w:color="auto"/>
        <w:left w:val="none" w:sz="0" w:space="0" w:color="auto"/>
        <w:bottom w:val="none" w:sz="0" w:space="0" w:color="auto"/>
        <w:right w:val="none" w:sz="0" w:space="0" w:color="auto"/>
      </w:divBdr>
    </w:div>
    <w:div w:id="21414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9.xml"/><Relationship Id="rId18" Type="http://schemas.openxmlformats.org/officeDocument/2006/relationships/chart" Target="charts/chart14.xml"/><Relationship Id="rId26" Type="http://schemas.openxmlformats.org/officeDocument/2006/relationships/chart" Target="charts/chart22.xml"/><Relationship Id="rId39" Type="http://schemas.openxmlformats.org/officeDocument/2006/relationships/image" Target="media/image11.png"/><Relationship Id="rId21" Type="http://schemas.openxmlformats.org/officeDocument/2006/relationships/chart" Target="charts/chart17.xml"/><Relationship Id="rId34" Type="http://schemas.openxmlformats.org/officeDocument/2006/relationships/image" Target="media/image6.png"/><Relationship Id="rId42" Type="http://schemas.openxmlformats.org/officeDocument/2006/relationships/image" Target="media/image14.png"/><Relationship Id="rId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12.xm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24" Type="http://schemas.openxmlformats.org/officeDocument/2006/relationships/chart" Target="charts/chart2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chart" Target="charts/chart1.xml"/><Relationship Id="rId15" Type="http://schemas.openxmlformats.org/officeDocument/2006/relationships/chart" Target="charts/chart11.xml"/><Relationship Id="rId23" Type="http://schemas.openxmlformats.org/officeDocument/2006/relationships/chart" Target="charts/chart19.xml"/><Relationship Id="rId28" Type="http://schemas.openxmlformats.org/officeDocument/2006/relationships/chart" Target="charts/chart24.xml"/><Relationship Id="rId36" Type="http://schemas.openxmlformats.org/officeDocument/2006/relationships/image" Target="media/image8.png"/><Relationship Id="rId10" Type="http://schemas.openxmlformats.org/officeDocument/2006/relationships/chart" Target="charts/chart6.xml"/><Relationship Id="rId19" Type="http://schemas.openxmlformats.org/officeDocument/2006/relationships/chart" Target="charts/chart15.xml"/><Relationship Id="rId31" Type="http://schemas.openxmlformats.org/officeDocument/2006/relationships/image" Target="media/image3.png"/><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 Id="rId22" Type="http://schemas.openxmlformats.org/officeDocument/2006/relationships/chart" Target="charts/chart18.xml"/><Relationship Id="rId27" Type="http://schemas.openxmlformats.org/officeDocument/2006/relationships/chart" Target="charts/chart2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chart" Target="charts/chart4.xml"/><Relationship Id="rId3" Type="http://schemas.openxmlformats.org/officeDocument/2006/relationships/settings" Target="settings.xml"/><Relationship Id="rId12" Type="http://schemas.openxmlformats.org/officeDocument/2006/relationships/chart" Target="charts/chart8.xml"/><Relationship Id="rId17" Type="http://schemas.openxmlformats.org/officeDocument/2006/relationships/chart" Target="charts/chart13.xml"/><Relationship Id="rId25" Type="http://schemas.openxmlformats.org/officeDocument/2006/relationships/chart" Target="charts/chart2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chart" Target="charts/chart16.xml"/><Relationship Id="rId4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Capstone%20Project\EDA%20Capstone%20Project.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91757\Downloads\EDA%20Capstone%20Projec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'EDA -1'!$D$15</c:f>
              <c:strCache>
                <c:ptCount val="1"/>
                <c:pt idx="0">
                  <c:v>total_spent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 -1'!$B$16:$B$25</c:f>
              <c:strCache>
                <c:ptCount val="10"/>
                <c:pt idx="0">
                  <c:v>QUICK</c:v>
                </c:pt>
                <c:pt idx="1">
                  <c:v>SAVEA</c:v>
                </c:pt>
                <c:pt idx="2">
                  <c:v>ERNSH</c:v>
                </c:pt>
                <c:pt idx="3">
                  <c:v>HUNGO</c:v>
                </c:pt>
                <c:pt idx="4">
                  <c:v>RATTC</c:v>
                </c:pt>
                <c:pt idx="5">
                  <c:v>HANAR</c:v>
                </c:pt>
                <c:pt idx="6">
                  <c:v>FOLKO</c:v>
                </c:pt>
                <c:pt idx="7">
                  <c:v>MEREP</c:v>
                </c:pt>
                <c:pt idx="8">
                  <c:v>KOENE</c:v>
                </c:pt>
                <c:pt idx="9">
                  <c:v>QUEEN</c:v>
                </c:pt>
              </c:strCache>
            </c:strRef>
          </c:cat>
          <c:val>
            <c:numRef>
              <c:f>'EDA -1'!$D$16:$D$25</c:f>
              <c:numCache>
                <c:formatCode>General</c:formatCode>
                <c:ptCount val="10"/>
                <c:pt idx="0">
                  <c:v>117477.43999991135</c:v>
                </c:pt>
                <c:pt idx="1">
                  <c:v>115663.78999986066</c:v>
                </c:pt>
                <c:pt idx="2">
                  <c:v>113229.72999987408</c:v>
                </c:pt>
                <c:pt idx="3">
                  <c:v>57311.139999936669</c:v>
                </c:pt>
                <c:pt idx="4">
                  <c:v>52243.409999983014</c:v>
                </c:pt>
                <c:pt idx="5">
                  <c:v>34098.999999964239</c:v>
                </c:pt>
                <c:pt idx="6">
                  <c:v>32551.699999946355</c:v>
                </c:pt>
                <c:pt idx="7">
                  <c:v>32202.049999972434</c:v>
                </c:pt>
                <c:pt idx="8">
                  <c:v>31744.199999947101</c:v>
                </c:pt>
                <c:pt idx="9">
                  <c:v>30222.499999961252</c:v>
                </c:pt>
              </c:numCache>
            </c:numRef>
          </c:val>
          <c:extLst>
            <c:ext xmlns:c16="http://schemas.microsoft.com/office/drawing/2014/chart" uri="{C3380CC4-5D6E-409C-BE32-E72D297353CC}">
              <c16:uniqueId val="{00000000-2798-4EBE-9E32-ECA8C8B09305}"/>
            </c:ext>
          </c:extLst>
        </c:ser>
        <c:dLbls>
          <c:showLegendKey val="0"/>
          <c:showVal val="0"/>
          <c:showCatName val="0"/>
          <c:showSerName val="0"/>
          <c:showPercent val="0"/>
          <c:showBubbleSize val="0"/>
        </c:dLbls>
        <c:gapWidth val="100"/>
        <c:overlap val="-24"/>
        <c:axId val="23716447"/>
        <c:axId val="23717887"/>
        <c:extLst>
          <c:ext xmlns:c15="http://schemas.microsoft.com/office/drawing/2012/chart" uri="{02D57815-91ED-43cb-92C2-25804820EDAC}">
            <c15:filteredBarSeries>
              <c15:ser>
                <c:idx val="0"/>
                <c:order val="0"/>
                <c:tx>
                  <c:strRef>
                    <c:extLst>
                      <c:ext uri="{02D57815-91ED-43cb-92C2-25804820EDAC}">
                        <c15:formulaRef>
                          <c15:sqref>'EDA -1'!$C$15</c15:sqref>
                        </c15:formulaRef>
                      </c:ext>
                    </c:extLst>
                    <c:strCache>
                      <c:ptCount val="1"/>
                      <c:pt idx="0">
                        <c:v>total_orders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uri="{02D57815-91ED-43cb-92C2-25804820EDAC}">
                        <c15:formulaRef>
                          <c15:sqref>'EDA -1'!$B$16:$B$25</c15:sqref>
                        </c15:formulaRef>
                      </c:ext>
                    </c:extLst>
                    <c:strCache>
                      <c:ptCount val="10"/>
                      <c:pt idx="0">
                        <c:v>QUICK</c:v>
                      </c:pt>
                      <c:pt idx="1">
                        <c:v>SAVEA</c:v>
                      </c:pt>
                      <c:pt idx="2">
                        <c:v>ERNSH</c:v>
                      </c:pt>
                      <c:pt idx="3">
                        <c:v>HUNGO</c:v>
                      </c:pt>
                      <c:pt idx="4">
                        <c:v>RATTC</c:v>
                      </c:pt>
                      <c:pt idx="5">
                        <c:v>HANAR</c:v>
                      </c:pt>
                      <c:pt idx="6">
                        <c:v>FOLKO</c:v>
                      </c:pt>
                      <c:pt idx="7">
                        <c:v>MEREP</c:v>
                      </c:pt>
                      <c:pt idx="8">
                        <c:v>KOENE</c:v>
                      </c:pt>
                      <c:pt idx="9">
                        <c:v>QUEEN</c:v>
                      </c:pt>
                    </c:strCache>
                  </c:strRef>
                </c:cat>
                <c:val>
                  <c:numRef>
                    <c:extLst>
                      <c:ext uri="{02D57815-91ED-43cb-92C2-25804820EDAC}">
                        <c15:formulaRef>
                          <c15:sqref>'EDA -1'!$C$16:$C$25</c15:sqref>
                        </c15:formulaRef>
                      </c:ext>
                    </c:extLst>
                    <c:numCache>
                      <c:formatCode>General</c:formatCode>
                      <c:ptCount val="10"/>
                      <c:pt idx="0">
                        <c:v>86</c:v>
                      </c:pt>
                      <c:pt idx="1">
                        <c:v>116</c:v>
                      </c:pt>
                      <c:pt idx="2">
                        <c:v>102</c:v>
                      </c:pt>
                      <c:pt idx="3">
                        <c:v>55</c:v>
                      </c:pt>
                      <c:pt idx="4">
                        <c:v>71</c:v>
                      </c:pt>
                      <c:pt idx="5">
                        <c:v>32</c:v>
                      </c:pt>
                      <c:pt idx="6">
                        <c:v>45</c:v>
                      </c:pt>
                      <c:pt idx="7">
                        <c:v>32</c:v>
                      </c:pt>
                      <c:pt idx="8">
                        <c:v>39</c:v>
                      </c:pt>
                      <c:pt idx="9">
                        <c:v>40</c:v>
                      </c:pt>
                    </c:numCache>
                  </c:numRef>
                </c:val>
                <c:extLst>
                  <c:ext xmlns:c16="http://schemas.microsoft.com/office/drawing/2014/chart" uri="{C3380CC4-5D6E-409C-BE32-E72D297353CC}">
                    <c16:uniqueId val="{00000001-2798-4EBE-9E32-ECA8C8B09305}"/>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'EDA -1'!$E$15</c15:sqref>
                        </c15:formulaRef>
                      </c:ext>
                    </c:extLst>
                    <c:strCache>
                      <c:ptCount val="1"/>
                      <c:pt idx="0">
                        <c:v>avg_order_value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xmlns:c15="http://schemas.microsoft.com/office/drawing/2012/chart">
                      <c:ext xmlns:c15="http://schemas.microsoft.com/office/drawing/2012/chart" uri="{02D57815-91ED-43cb-92C2-25804820EDAC}">
                        <c15:formulaRef>
                          <c15:sqref>'EDA -1'!$B$16:$B$25</c15:sqref>
                        </c15:formulaRef>
                      </c:ext>
                    </c:extLst>
                    <c:strCache>
                      <c:ptCount val="10"/>
                      <c:pt idx="0">
                        <c:v>QUICK</c:v>
                      </c:pt>
                      <c:pt idx="1">
                        <c:v>SAVEA</c:v>
                      </c:pt>
                      <c:pt idx="2">
                        <c:v>ERNSH</c:v>
                      </c:pt>
                      <c:pt idx="3">
                        <c:v>HUNGO</c:v>
                      </c:pt>
                      <c:pt idx="4">
                        <c:v>RATTC</c:v>
                      </c:pt>
                      <c:pt idx="5">
                        <c:v>HANAR</c:v>
                      </c:pt>
                      <c:pt idx="6">
                        <c:v>FOLKO</c:v>
                      </c:pt>
                      <c:pt idx="7">
                        <c:v>MEREP</c:v>
                      </c:pt>
                      <c:pt idx="8">
                        <c:v>KOENE</c:v>
                      </c:pt>
                      <c:pt idx="9">
                        <c:v>QUEEN</c:v>
                      </c:pt>
                    </c:strCache>
                  </c:strRef>
                </c:cat>
                <c:val>
                  <c:numRef>
                    <c:extLst xmlns:c15="http://schemas.microsoft.com/office/drawing/2012/chart">
                      <c:ext xmlns:c15="http://schemas.microsoft.com/office/drawing/2012/chart" uri="{02D57815-91ED-43cb-92C2-25804820EDAC}">
                        <c15:formulaRef>
                          <c15:sqref>'EDA -1'!$E$16:$E$25</c15:sqref>
                        </c15:formulaRef>
                      </c:ext>
                    </c:extLst>
                    <c:numCache>
                      <c:formatCode>0.00</c:formatCode>
                      <c:ptCount val="10"/>
                      <c:pt idx="0">
                        <c:v>1366.0167441850158</c:v>
                      </c:pt>
                      <c:pt idx="1">
                        <c:v>997.10163792983326</c:v>
                      </c:pt>
                      <c:pt idx="2">
                        <c:v>1110.0953921556281</c:v>
                      </c:pt>
                      <c:pt idx="3">
                        <c:v>1042.0207272715759</c:v>
                      </c:pt>
                      <c:pt idx="4">
                        <c:v>735.82267605609877</c:v>
                      </c:pt>
                      <c:pt idx="5">
                        <c:v>1065.5937499988825</c:v>
                      </c:pt>
                      <c:pt idx="6">
                        <c:v>723.37111110991896</c:v>
                      </c:pt>
                      <c:pt idx="7">
                        <c:v>1006.3140624991386</c:v>
                      </c:pt>
                      <c:pt idx="8">
                        <c:v>813.95384615248975</c:v>
                      </c:pt>
                      <c:pt idx="9">
                        <c:v>755.56249999903127</c:v>
                      </c:pt>
                    </c:numCache>
                  </c:numRef>
                </c:val>
                <c:extLst xmlns:c15="http://schemas.microsoft.com/office/drawing/2012/chart">
                  <c:ext xmlns:c16="http://schemas.microsoft.com/office/drawing/2014/chart" uri="{C3380CC4-5D6E-409C-BE32-E72D297353CC}">
                    <c16:uniqueId val="{00000002-2798-4EBE-9E32-ECA8C8B09305}"/>
                  </c:ext>
                </c:extLst>
              </c15:ser>
            </c15:filteredBarSeries>
          </c:ext>
        </c:extLst>
      </c:barChart>
      <c:catAx>
        <c:axId val="2371644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717887"/>
        <c:crosses val="autoZero"/>
        <c:auto val="1"/>
        <c:lblAlgn val="ctr"/>
        <c:lblOffset val="100"/>
        <c:noMultiLvlLbl val="0"/>
      </c:catAx>
      <c:valAx>
        <c:axId val="237178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716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Order</a:t>
            </a:r>
            <a:r>
              <a:rPr lang="en-US" baseline="0"/>
              <a:t> by Month</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1"/>
          <c:order val="1"/>
          <c:tx>
            <c:strRef>
              <c:f>'EDA-6'!$I$17</c:f>
              <c:strCache>
                <c:ptCount val="1"/>
                <c:pt idx="0">
                  <c:v>total_order</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'EDA-6'!$H$18:$H$29</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'EDA-6'!$I$18:$I$29</c:f>
              <c:numCache>
                <c:formatCode>General</c:formatCode>
                <c:ptCount val="12"/>
                <c:pt idx="0">
                  <c:v>79</c:v>
                </c:pt>
                <c:pt idx="1">
                  <c:v>82</c:v>
                </c:pt>
                <c:pt idx="2">
                  <c:v>89</c:v>
                </c:pt>
                <c:pt idx="3">
                  <c:v>101</c:v>
                </c:pt>
                <c:pt idx="4">
                  <c:v>110</c:v>
                </c:pt>
                <c:pt idx="5">
                  <c:v>43</c:v>
                </c:pt>
                <c:pt idx="6">
                  <c:v>30</c:v>
                </c:pt>
                <c:pt idx="7">
                  <c:v>55</c:v>
                </c:pt>
                <c:pt idx="8">
                  <c:v>58</c:v>
                </c:pt>
                <c:pt idx="9">
                  <c:v>60</c:v>
                </c:pt>
                <c:pt idx="10">
                  <c:v>62</c:v>
                </c:pt>
                <c:pt idx="11">
                  <c:v>61</c:v>
                </c:pt>
              </c:numCache>
            </c:numRef>
          </c:val>
          <c:smooth val="0"/>
          <c:extLst>
            <c:ext xmlns:c16="http://schemas.microsoft.com/office/drawing/2014/chart" uri="{C3380CC4-5D6E-409C-BE32-E72D297353CC}">
              <c16:uniqueId val="{00000000-1D73-4E5F-94B9-523A453590A7}"/>
            </c:ext>
          </c:extLst>
        </c:ser>
        <c:dLbls>
          <c:dLblPos val="t"/>
          <c:showLegendKey val="0"/>
          <c:showVal val="1"/>
          <c:showCatName val="0"/>
          <c:showSerName val="0"/>
          <c:showPercent val="0"/>
          <c:showBubbleSize val="0"/>
        </c:dLbls>
        <c:smooth val="0"/>
        <c:axId val="1213512656"/>
        <c:axId val="1213509296"/>
        <c:extLst>
          <c:ext xmlns:c15="http://schemas.microsoft.com/office/drawing/2012/chart" uri="{02D57815-91ED-43cb-92C2-25804820EDAC}">
            <c15:filteredLineSeries>
              <c15:ser>
                <c:idx val="0"/>
                <c:order val="0"/>
                <c:tx>
                  <c:strRef>
                    <c:extLst>
                      <c:ext uri="{02D57815-91ED-43cb-92C2-25804820EDAC}">
                        <c15:formulaRef>
                          <c15:sqref>'EDA-6'!$H$17</c15:sqref>
                        </c15:formulaRef>
                      </c:ext>
                    </c:extLst>
                    <c:strCache>
                      <c:ptCount val="1"/>
                      <c:pt idx="0">
                        <c:v>order_month</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uri="{CE6537A1-D6FC-4f65-9D91-7224C49458BB}">
                      <c15:showLeaderLines val="1"/>
                      <c15:leaderLines>
                        <c:spPr>
                          <a:ln w="9525">
                            <a:solidFill>
                              <a:schemeClr val="lt1">
                                <a:lumMod val="95000"/>
                                <a:alpha val="54000"/>
                              </a:schemeClr>
                            </a:solidFill>
                          </a:ln>
                          <a:effectLst/>
                        </c:spPr>
                      </c15:leaderLines>
                    </c:ext>
                  </c:extLst>
                </c:dLbls>
                <c:cat>
                  <c:numRef>
                    <c:extLst>
                      <c:ext uri="{02D57815-91ED-43cb-92C2-25804820EDAC}">
                        <c15:formulaRef>
                          <c15:sqref>'EDA-6'!$H$18:$H$29</c15:sqref>
                        </c15:formulaRef>
                      </c:ext>
                    </c:extLst>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extLst>
                      <c:ext uri="{02D57815-91ED-43cb-92C2-25804820EDAC}">
                        <c15:formulaRef>
                          <c15:sqref>'EDA-6'!$H$18:$H$29</c15:sqref>
                        </c15:formulaRef>
                      </c:ext>
                    </c:extLst>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val>
                <c:smooth val="0"/>
                <c:extLst>
                  <c:ext xmlns:c16="http://schemas.microsoft.com/office/drawing/2014/chart" uri="{C3380CC4-5D6E-409C-BE32-E72D297353CC}">
                    <c16:uniqueId val="{00000001-1D73-4E5F-94B9-523A453590A7}"/>
                  </c:ext>
                </c:extLst>
              </c15:ser>
            </c15:filteredLineSeries>
          </c:ext>
        </c:extLst>
      </c:lineChart>
      <c:catAx>
        <c:axId val="121351265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3509296"/>
        <c:crosses val="autoZero"/>
        <c:auto val="1"/>
        <c:lblAlgn val="ctr"/>
        <c:lblOffset val="100"/>
        <c:noMultiLvlLbl val="0"/>
      </c:catAx>
      <c:valAx>
        <c:axId val="121350929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3512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 Order</a:t>
            </a:r>
            <a:r>
              <a:rPr lang="en-US" baseline="0"/>
              <a:t> Count By ShipVia</a:t>
            </a:r>
          </a:p>
          <a:p>
            <a:pPr>
              <a:defRPr/>
            </a:pP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'EDA-6'!$I$7</c:f>
              <c:strCache>
                <c:ptCount val="1"/>
                <c:pt idx="0">
                  <c:v>total_order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'EDA-6'!$H$8:$H$10</c:f>
              <c:numCache>
                <c:formatCode>General</c:formatCode>
                <c:ptCount val="3"/>
                <c:pt idx="0">
                  <c:v>2</c:v>
                </c:pt>
                <c:pt idx="1">
                  <c:v>3</c:v>
                </c:pt>
                <c:pt idx="2">
                  <c:v>1</c:v>
                </c:pt>
              </c:numCache>
            </c:numRef>
          </c:cat>
          <c:val>
            <c:numRef>
              <c:f>'EDA-6'!$I$8:$I$10</c:f>
              <c:numCache>
                <c:formatCode>General</c:formatCode>
                <c:ptCount val="3"/>
                <c:pt idx="0">
                  <c:v>326</c:v>
                </c:pt>
                <c:pt idx="1">
                  <c:v>255</c:v>
                </c:pt>
                <c:pt idx="2">
                  <c:v>249</c:v>
                </c:pt>
              </c:numCache>
            </c:numRef>
          </c:val>
          <c:extLst>
            <c:ext xmlns:c16="http://schemas.microsoft.com/office/drawing/2014/chart" uri="{C3380CC4-5D6E-409C-BE32-E72D297353CC}">
              <c16:uniqueId val="{00000000-E0CC-4F6E-A6FA-18D6A51C8A8F}"/>
            </c:ext>
          </c:extLst>
        </c:ser>
        <c:dLbls>
          <c:dLblPos val="outEnd"/>
          <c:showLegendKey val="0"/>
          <c:showVal val="1"/>
          <c:showCatName val="0"/>
          <c:showSerName val="0"/>
          <c:showPercent val="0"/>
          <c:showBubbleSize val="0"/>
        </c:dLbls>
        <c:gapWidth val="100"/>
        <c:overlap val="-24"/>
        <c:axId val="1179751504"/>
        <c:axId val="1219781328"/>
      </c:barChart>
      <c:catAx>
        <c:axId val="11797515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9781328"/>
        <c:crosses val="autoZero"/>
        <c:auto val="1"/>
        <c:lblAlgn val="ctr"/>
        <c:lblOffset val="100"/>
        <c:noMultiLvlLbl val="0"/>
      </c:catAx>
      <c:valAx>
        <c:axId val="12197813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7975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rPr>
              <a:t>Distribution of Employees by Geography and Title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'EDA-7'!$E$6</c:f>
              <c:strCache>
                <c:ptCount val="1"/>
                <c:pt idx="0">
                  <c:v>count_employee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'EDA-7'!$B$7:$D$13</c:f>
              <c:multiLvlStrCache>
                <c:ptCount val="7"/>
                <c:lvl>
                  <c:pt idx="0">
                    <c:v>Sales Representative</c:v>
                  </c:pt>
                  <c:pt idx="1">
                    <c:v>Sales Representative</c:v>
                  </c:pt>
                  <c:pt idx="2">
                    <c:v>Vice President, Sales</c:v>
                  </c:pt>
                  <c:pt idx="3">
                    <c:v>Sales Representative</c:v>
                  </c:pt>
                  <c:pt idx="4">
                    <c:v>Sales Representative</c:v>
                  </c:pt>
                  <c:pt idx="5">
                    <c:v>Sales Manager</c:v>
                  </c:pt>
                  <c:pt idx="6">
                    <c:v>Inside Sales Coordinator</c:v>
                  </c:pt>
                </c:lvl>
                <c:lvl>
                  <c:pt idx="0">
                    <c:v>London</c:v>
                  </c:pt>
                  <c:pt idx="1">
                    <c:v>Seattle</c:v>
                  </c:pt>
                  <c:pt idx="2">
                    <c:v>Tacoma</c:v>
                  </c:pt>
                  <c:pt idx="3">
                    <c:v>Kirkland</c:v>
                  </c:pt>
                  <c:pt idx="4">
                    <c:v>Redmond</c:v>
                  </c:pt>
                  <c:pt idx="5">
                    <c:v>London</c:v>
                  </c:pt>
                  <c:pt idx="6">
                    <c:v>Seattle</c:v>
                  </c:pt>
                </c:lvl>
                <c:lvl>
                  <c:pt idx="0">
                    <c:v>UK</c:v>
                  </c:pt>
                  <c:pt idx="1">
                    <c:v>USA</c:v>
                  </c:pt>
                  <c:pt idx="2">
                    <c:v>USA</c:v>
                  </c:pt>
                  <c:pt idx="3">
                    <c:v>USA</c:v>
                  </c:pt>
                  <c:pt idx="4">
                    <c:v>USA</c:v>
                  </c:pt>
                  <c:pt idx="5">
                    <c:v>UK</c:v>
                  </c:pt>
                  <c:pt idx="6">
                    <c:v>USA</c:v>
                  </c:pt>
                </c:lvl>
              </c:multiLvlStrCache>
            </c:multiLvlStrRef>
          </c:cat>
          <c:val>
            <c:numRef>
              <c:f>'EDA-7'!$E$7:$E$13</c:f>
              <c:numCache>
                <c:formatCode>General</c:formatCode>
                <c:ptCount val="7"/>
                <c:pt idx="0">
                  <c:v>3</c:v>
                </c:pt>
                <c:pt idx="1">
                  <c:v>1</c:v>
                </c:pt>
                <c:pt idx="2">
                  <c:v>1</c:v>
                </c:pt>
                <c:pt idx="3">
                  <c:v>1</c:v>
                </c:pt>
                <c:pt idx="4">
                  <c:v>1</c:v>
                </c:pt>
                <c:pt idx="5">
                  <c:v>1</c:v>
                </c:pt>
                <c:pt idx="6">
                  <c:v>1</c:v>
                </c:pt>
              </c:numCache>
            </c:numRef>
          </c:val>
          <c:extLst>
            <c:ext xmlns:c16="http://schemas.microsoft.com/office/drawing/2014/chart" uri="{C3380CC4-5D6E-409C-BE32-E72D297353CC}">
              <c16:uniqueId val="{00000000-5068-4AF6-8F0D-0AFFB2B77E88}"/>
            </c:ext>
          </c:extLst>
        </c:ser>
        <c:dLbls>
          <c:dLblPos val="outEnd"/>
          <c:showLegendKey val="0"/>
          <c:showVal val="1"/>
          <c:showCatName val="0"/>
          <c:showSerName val="0"/>
          <c:showPercent val="0"/>
          <c:showBubbleSize val="0"/>
        </c:dLbls>
        <c:gapWidth val="100"/>
        <c:overlap val="-24"/>
        <c:axId val="1446569264"/>
        <c:axId val="1446556304"/>
      </c:barChart>
      <c:catAx>
        <c:axId val="144656926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46556304"/>
        <c:crosses val="autoZero"/>
        <c:auto val="1"/>
        <c:lblAlgn val="ctr"/>
        <c:lblOffset val="100"/>
        <c:noMultiLvlLbl val="0"/>
      </c:catAx>
      <c:valAx>
        <c:axId val="14465563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465692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Hire</a:t>
            </a:r>
            <a:r>
              <a:rPr lang="en-IN" baseline="0"/>
              <a:t> Dates Across Employee Title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barChart>
        <c:barDir val="col"/>
        <c:grouping val="clustered"/>
        <c:varyColors val="0"/>
        <c:ser>
          <c:idx val="0"/>
          <c:order val="0"/>
          <c:tx>
            <c:strRef>
              <c:f>'EDA-8'!$C$7</c:f>
              <c:strCache>
                <c:ptCount val="1"/>
                <c:pt idx="0">
                  <c:v>hire_year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'EDA-8'!$B$8:$B$13</c:f>
              <c:strCache>
                <c:ptCount val="6"/>
                <c:pt idx="0">
                  <c:v>Sales Representative</c:v>
                </c:pt>
                <c:pt idx="1">
                  <c:v>Vice President, Sales</c:v>
                </c:pt>
                <c:pt idx="2">
                  <c:v>Sales Manager</c:v>
                </c:pt>
                <c:pt idx="3">
                  <c:v>Sales Representative</c:v>
                </c:pt>
                <c:pt idx="4">
                  <c:v>Inside Sales Coordinator</c:v>
                </c:pt>
                <c:pt idx="5">
                  <c:v>Sales Representative</c:v>
                </c:pt>
              </c:strCache>
            </c:strRef>
          </c:cat>
          <c:val>
            <c:numRef>
              <c:f>'EDA-8'!$C$8:$C$13</c:f>
              <c:numCache>
                <c:formatCode>General</c:formatCode>
                <c:ptCount val="6"/>
                <c:pt idx="0">
                  <c:v>1992</c:v>
                </c:pt>
                <c:pt idx="1">
                  <c:v>1992</c:v>
                </c:pt>
                <c:pt idx="2">
                  <c:v>1993</c:v>
                </c:pt>
                <c:pt idx="3">
                  <c:v>1993</c:v>
                </c:pt>
                <c:pt idx="4">
                  <c:v>1994</c:v>
                </c:pt>
                <c:pt idx="5">
                  <c:v>1994</c:v>
                </c:pt>
              </c:numCache>
            </c:numRef>
          </c:val>
          <c:extLst>
            <c:ext xmlns:c16="http://schemas.microsoft.com/office/drawing/2014/chart" uri="{C3380CC4-5D6E-409C-BE32-E72D297353CC}">
              <c16:uniqueId val="{00000000-F204-4141-A70E-3073BEB4D283}"/>
            </c:ext>
          </c:extLst>
        </c:ser>
        <c:dLbls>
          <c:showLegendKey val="0"/>
          <c:showVal val="1"/>
          <c:showCatName val="0"/>
          <c:showSerName val="0"/>
          <c:showPercent val="0"/>
          <c:showBubbleSize val="0"/>
        </c:dLbls>
        <c:gapWidth val="219"/>
        <c:overlap val="-27"/>
        <c:axId val="1089726912"/>
        <c:axId val="1089724992"/>
      </c:barChart>
      <c:lineChart>
        <c:grouping val="standard"/>
        <c:varyColors val="0"/>
        <c:ser>
          <c:idx val="1"/>
          <c:order val="1"/>
          <c:tx>
            <c:strRef>
              <c:f>'EDA-8'!$D$7</c:f>
              <c:strCache>
                <c:ptCount val="1"/>
                <c:pt idx="0">
                  <c:v>hires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'EDA-8'!$B$8:$B$13</c:f>
              <c:strCache>
                <c:ptCount val="6"/>
                <c:pt idx="0">
                  <c:v>Sales Representative</c:v>
                </c:pt>
                <c:pt idx="1">
                  <c:v>Vice President, Sales</c:v>
                </c:pt>
                <c:pt idx="2">
                  <c:v>Sales Manager</c:v>
                </c:pt>
                <c:pt idx="3">
                  <c:v>Sales Representative</c:v>
                </c:pt>
                <c:pt idx="4">
                  <c:v>Inside Sales Coordinator</c:v>
                </c:pt>
                <c:pt idx="5">
                  <c:v>Sales Representative</c:v>
                </c:pt>
              </c:strCache>
            </c:strRef>
          </c:cat>
          <c:val>
            <c:numRef>
              <c:f>'EDA-8'!$D$8:$D$13</c:f>
              <c:numCache>
                <c:formatCode>General</c:formatCode>
                <c:ptCount val="6"/>
                <c:pt idx="0">
                  <c:v>2</c:v>
                </c:pt>
                <c:pt idx="1">
                  <c:v>1</c:v>
                </c:pt>
                <c:pt idx="2">
                  <c:v>1</c:v>
                </c:pt>
                <c:pt idx="3">
                  <c:v>2</c:v>
                </c:pt>
                <c:pt idx="4">
                  <c:v>1</c:v>
                </c:pt>
                <c:pt idx="5">
                  <c:v>2</c:v>
                </c:pt>
              </c:numCache>
            </c:numRef>
          </c:val>
          <c:smooth val="0"/>
          <c:extLst>
            <c:ext xmlns:c16="http://schemas.microsoft.com/office/drawing/2014/chart" uri="{C3380CC4-5D6E-409C-BE32-E72D297353CC}">
              <c16:uniqueId val="{00000001-F204-4141-A70E-3073BEB4D283}"/>
            </c:ext>
          </c:extLst>
        </c:ser>
        <c:dLbls>
          <c:showLegendKey val="0"/>
          <c:showVal val="1"/>
          <c:showCatName val="0"/>
          <c:showSerName val="0"/>
          <c:showPercent val="0"/>
          <c:showBubbleSize val="0"/>
        </c:dLbls>
        <c:marker val="1"/>
        <c:smooth val="0"/>
        <c:axId val="1120148400"/>
        <c:axId val="1120146480"/>
      </c:lineChart>
      <c:catAx>
        <c:axId val="10897269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89724992"/>
        <c:crosses val="autoZero"/>
        <c:auto val="1"/>
        <c:lblAlgn val="ctr"/>
        <c:lblOffset val="100"/>
        <c:noMultiLvlLbl val="0"/>
      </c:catAx>
      <c:valAx>
        <c:axId val="108972499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89726912"/>
        <c:crosses val="autoZero"/>
        <c:crossBetween val="between"/>
        <c:majorUnit val="1"/>
        <c:minorUnit val="1"/>
      </c:valAx>
      <c:valAx>
        <c:axId val="1120146480"/>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20148400"/>
        <c:crosses val="max"/>
        <c:crossBetween val="between"/>
      </c:valAx>
      <c:catAx>
        <c:axId val="1120148400"/>
        <c:scaling>
          <c:orientation val="minMax"/>
        </c:scaling>
        <c:delete val="1"/>
        <c:axPos val="b"/>
        <c:numFmt formatCode="General" sourceLinked="1"/>
        <c:majorTickMark val="none"/>
        <c:minorTickMark val="none"/>
        <c:tickLblPos val="nextTo"/>
        <c:crossAx val="11201464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Project.xlsx]EDA-9!PivotTable7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Title</a:t>
            </a:r>
            <a:r>
              <a:rPr lang="en-IN" baseline="0"/>
              <a:t> Wise Employee Count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'EDA-9'!$C$16</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AC0-45CD-99CF-B516F07C974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7AC0-45CD-99CF-B516F07C974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7AC0-45CD-99CF-B516F07C974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7AC0-45CD-99CF-B516F07C974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'EDA-9'!$B$17:$B$20</c:f>
              <c:strCache>
                <c:ptCount val="4"/>
                <c:pt idx="0">
                  <c:v>Sales Representative</c:v>
                </c:pt>
                <c:pt idx="1">
                  <c:v>Vice President, Sales</c:v>
                </c:pt>
                <c:pt idx="2">
                  <c:v>Inside Sales Coordinator</c:v>
                </c:pt>
                <c:pt idx="3">
                  <c:v>Sales Manager</c:v>
                </c:pt>
              </c:strCache>
            </c:strRef>
          </c:cat>
          <c:val>
            <c:numRef>
              <c:f>'EDA-9'!$C$17:$C$20</c:f>
              <c:numCache>
                <c:formatCode>General</c:formatCode>
                <c:ptCount val="4"/>
                <c:pt idx="0">
                  <c:v>3</c:v>
                </c:pt>
                <c:pt idx="1">
                  <c:v>1</c:v>
                </c:pt>
                <c:pt idx="2">
                  <c:v>1</c:v>
                </c:pt>
                <c:pt idx="3">
                  <c:v>1</c:v>
                </c:pt>
              </c:numCache>
            </c:numRef>
          </c:val>
          <c:extLst>
            <c:ext xmlns:c16="http://schemas.microsoft.com/office/drawing/2014/chart" uri="{C3380CC4-5D6E-409C-BE32-E72D297353CC}">
              <c16:uniqueId val="{00000008-7AC0-45CD-99CF-B516F07C974F}"/>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Project.xlsx]EDA-9!PivotTable8</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Courtesy</a:t>
            </a:r>
            <a:r>
              <a:rPr lang="en-IN" baseline="0"/>
              <a:t> Title Wise Employee Count</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'EDA-9'!$C$30</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F51-4ED7-83F7-45FC0E2561B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F51-4ED7-83F7-45FC0E2561B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F51-4ED7-83F7-45FC0E2561B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F51-4ED7-83F7-45FC0E2561B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'EDA-9'!$B$31:$B$34</c:f>
              <c:strCache>
                <c:ptCount val="4"/>
                <c:pt idx="0">
                  <c:v>Ms.</c:v>
                </c:pt>
                <c:pt idx="1">
                  <c:v>Mr.</c:v>
                </c:pt>
                <c:pt idx="2">
                  <c:v>Dr.</c:v>
                </c:pt>
                <c:pt idx="3">
                  <c:v>Mrs.</c:v>
                </c:pt>
              </c:strCache>
            </c:strRef>
          </c:cat>
          <c:val>
            <c:numRef>
              <c:f>'EDA-9'!$C$31:$C$34</c:f>
              <c:numCache>
                <c:formatCode>General</c:formatCode>
                <c:ptCount val="4"/>
                <c:pt idx="0">
                  <c:v>2</c:v>
                </c:pt>
                <c:pt idx="1">
                  <c:v>2</c:v>
                </c:pt>
                <c:pt idx="2">
                  <c:v>1</c:v>
                </c:pt>
                <c:pt idx="3">
                  <c:v>1</c:v>
                </c:pt>
              </c:numCache>
            </c:numRef>
          </c:val>
          <c:extLst>
            <c:ext xmlns:c16="http://schemas.microsoft.com/office/drawing/2014/chart" uri="{C3380CC4-5D6E-409C-BE32-E72D297353CC}">
              <c16:uniqueId val="{00000008-BF51-4ED7-83F7-45FC0E2561B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UnitPrice v/s Stock</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'EDA-10'!$C$4</c:f>
              <c:strCache>
                <c:ptCount val="1"/>
                <c:pt idx="0">
                  <c:v>UnitPrice</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'EDA-10'!$D$5:$D$81</c:f>
              <c:numCache>
                <c:formatCode>General</c:formatCode>
                <c:ptCount val="77"/>
                <c:pt idx="0">
                  <c:v>17</c:v>
                </c:pt>
                <c:pt idx="1">
                  <c:v>0</c:v>
                </c:pt>
                <c:pt idx="2">
                  <c:v>79</c:v>
                </c:pt>
                <c:pt idx="3">
                  <c:v>19</c:v>
                </c:pt>
                <c:pt idx="4">
                  <c:v>17</c:v>
                </c:pt>
                <c:pt idx="5">
                  <c:v>21</c:v>
                </c:pt>
                <c:pt idx="6">
                  <c:v>20</c:v>
                </c:pt>
                <c:pt idx="7">
                  <c:v>0</c:v>
                </c:pt>
                <c:pt idx="8">
                  <c:v>42</c:v>
                </c:pt>
                <c:pt idx="9">
                  <c:v>26</c:v>
                </c:pt>
                <c:pt idx="10">
                  <c:v>14</c:v>
                </c:pt>
                <c:pt idx="11">
                  <c:v>17</c:v>
                </c:pt>
                <c:pt idx="12">
                  <c:v>26</c:v>
                </c:pt>
                <c:pt idx="13">
                  <c:v>40</c:v>
                </c:pt>
                <c:pt idx="14">
                  <c:v>22</c:v>
                </c:pt>
                <c:pt idx="15">
                  <c:v>15</c:v>
                </c:pt>
                <c:pt idx="16">
                  <c:v>31</c:v>
                </c:pt>
                <c:pt idx="17">
                  <c:v>15</c:v>
                </c:pt>
                <c:pt idx="18">
                  <c:v>0</c:v>
                </c:pt>
                <c:pt idx="19">
                  <c:v>26</c:v>
                </c:pt>
                <c:pt idx="20">
                  <c:v>115</c:v>
                </c:pt>
                <c:pt idx="21">
                  <c:v>123</c:v>
                </c:pt>
                <c:pt idx="22">
                  <c:v>29</c:v>
                </c:pt>
                <c:pt idx="23">
                  <c:v>17</c:v>
                </c:pt>
                <c:pt idx="24">
                  <c:v>24</c:v>
                </c:pt>
                <c:pt idx="25">
                  <c:v>57</c:v>
                </c:pt>
                <c:pt idx="26">
                  <c:v>113</c:v>
                </c:pt>
                <c:pt idx="27">
                  <c:v>0</c:v>
                </c:pt>
                <c:pt idx="28">
                  <c:v>49</c:v>
                </c:pt>
                <c:pt idx="29">
                  <c:v>10</c:v>
                </c:pt>
                <c:pt idx="30">
                  <c:v>76</c:v>
                </c:pt>
                <c:pt idx="31">
                  <c:v>112</c:v>
                </c:pt>
                <c:pt idx="32">
                  <c:v>20</c:v>
                </c:pt>
                <c:pt idx="33">
                  <c:v>39</c:v>
                </c:pt>
                <c:pt idx="34">
                  <c:v>22</c:v>
                </c:pt>
                <c:pt idx="35">
                  <c:v>6</c:v>
                </c:pt>
                <c:pt idx="36">
                  <c:v>69</c:v>
                </c:pt>
                <c:pt idx="37">
                  <c:v>86</c:v>
                </c:pt>
                <c:pt idx="38">
                  <c:v>15</c:v>
                </c:pt>
                <c:pt idx="39">
                  <c:v>27</c:v>
                </c:pt>
                <c:pt idx="40">
                  <c:v>32</c:v>
                </c:pt>
                <c:pt idx="41">
                  <c:v>3</c:v>
                </c:pt>
                <c:pt idx="42">
                  <c:v>10</c:v>
                </c:pt>
                <c:pt idx="43">
                  <c:v>53</c:v>
                </c:pt>
                <c:pt idx="44">
                  <c:v>6</c:v>
                </c:pt>
                <c:pt idx="45">
                  <c:v>26</c:v>
                </c:pt>
                <c:pt idx="46">
                  <c:v>9</c:v>
                </c:pt>
                <c:pt idx="47">
                  <c:v>85</c:v>
                </c:pt>
                <c:pt idx="48">
                  <c:v>29</c:v>
                </c:pt>
                <c:pt idx="49">
                  <c:v>125</c:v>
                </c:pt>
                <c:pt idx="50">
                  <c:v>35</c:v>
                </c:pt>
                <c:pt idx="51">
                  <c:v>36</c:v>
                </c:pt>
                <c:pt idx="52">
                  <c:v>120</c:v>
                </c:pt>
                <c:pt idx="53">
                  <c:v>104</c:v>
                </c:pt>
                <c:pt idx="54">
                  <c:v>111</c:v>
                </c:pt>
                <c:pt idx="55">
                  <c:v>62</c:v>
                </c:pt>
                <c:pt idx="56">
                  <c:v>25</c:v>
                </c:pt>
                <c:pt idx="57">
                  <c:v>95</c:v>
                </c:pt>
                <c:pt idx="58">
                  <c:v>0</c:v>
                </c:pt>
                <c:pt idx="59">
                  <c:v>24</c:v>
                </c:pt>
                <c:pt idx="60">
                  <c:v>21</c:v>
                </c:pt>
                <c:pt idx="61">
                  <c:v>61</c:v>
                </c:pt>
                <c:pt idx="62">
                  <c:v>20</c:v>
                </c:pt>
                <c:pt idx="63">
                  <c:v>5</c:v>
                </c:pt>
                <c:pt idx="64">
                  <c:v>36</c:v>
                </c:pt>
                <c:pt idx="65">
                  <c:v>101</c:v>
                </c:pt>
                <c:pt idx="66">
                  <c:v>76</c:v>
                </c:pt>
                <c:pt idx="67">
                  <c:v>4</c:v>
                </c:pt>
                <c:pt idx="68">
                  <c:v>65</c:v>
                </c:pt>
                <c:pt idx="69">
                  <c:v>38</c:v>
                </c:pt>
                <c:pt idx="70">
                  <c:v>13</c:v>
                </c:pt>
                <c:pt idx="71">
                  <c:v>11</c:v>
                </c:pt>
                <c:pt idx="72">
                  <c:v>4</c:v>
                </c:pt>
                <c:pt idx="73">
                  <c:v>52</c:v>
                </c:pt>
                <c:pt idx="74">
                  <c:v>39</c:v>
                </c:pt>
                <c:pt idx="75">
                  <c:v>112</c:v>
                </c:pt>
                <c:pt idx="76">
                  <c:v>15</c:v>
                </c:pt>
              </c:numCache>
            </c:numRef>
          </c:xVal>
          <c:yVal>
            <c:numRef>
              <c:f>'EDA-10'!$C$5:$C$81</c:f>
              <c:numCache>
                <c:formatCode>General</c:formatCode>
                <c:ptCount val="77"/>
                <c:pt idx="0">
                  <c:v>263.5</c:v>
                </c:pt>
                <c:pt idx="1">
                  <c:v>123.79</c:v>
                </c:pt>
                <c:pt idx="2">
                  <c:v>55</c:v>
                </c:pt>
                <c:pt idx="3">
                  <c:v>34</c:v>
                </c:pt>
                <c:pt idx="4">
                  <c:v>49.3</c:v>
                </c:pt>
                <c:pt idx="5">
                  <c:v>38</c:v>
                </c:pt>
                <c:pt idx="6">
                  <c:v>53</c:v>
                </c:pt>
                <c:pt idx="7">
                  <c:v>39</c:v>
                </c:pt>
                <c:pt idx="8">
                  <c:v>62.5</c:v>
                </c:pt>
                <c:pt idx="9">
                  <c:v>45.6</c:v>
                </c:pt>
                <c:pt idx="10">
                  <c:v>34.799999999999997</c:v>
                </c:pt>
                <c:pt idx="11">
                  <c:v>46</c:v>
                </c:pt>
                <c:pt idx="12">
                  <c:v>36</c:v>
                </c:pt>
                <c:pt idx="13">
                  <c:v>81</c:v>
                </c:pt>
                <c:pt idx="14">
                  <c:v>33.25</c:v>
                </c:pt>
                <c:pt idx="15">
                  <c:v>30</c:v>
                </c:pt>
                <c:pt idx="16">
                  <c:v>31</c:v>
                </c:pt>
                <c:pt idx="17">
                  <c:v>31.23</c:v>
                </c:pt>
                <c:pt idx="18">
                  <c:v>32.799999999999997</c:v>
                </c:pt>
                <c:pt idx="19">
                  <c:v>21.5</c:v>
                </c:pt>
                <c:pt idx="20">
                  <c:v>24</c:v>
                </c:pt>
                <c:pt idx="21">
                  <c:v>18.399999999999999</c:v>
                </c:pt>
                <c:pt idx="22">
                  <c:v>17.45</c:v>
                </c:pt>
                <c:pt idx="23">
                  <c:v>19</c:v>
                </c:pt>
                <c:pt idx="24">
                  <c:v>43.9</c:v>
                </c:pt>
                <c:pt idx="25">
                  <c:v>18</c:v>
                </c:pt>
                <c:pt idx="26">
                  <c:v>28.5</c:v>
                </c:pt>
                <c:pt idx="27">
                  <c:v>12.5</c:v>
                </c:pt>
                <c:pt idx="28">
                  <c:v>43.9</c:v>
                </c:pt>
                <c:pt idx="29">
                  <c:v>25.89</c:v>
                </c:pt>
                <c:pt idx="30">
                  <c:v>21.05</c:v>
                </c:pt>
                <c:pt idx="31">
                  <c:v>19</c:v>
                </c:pt>
                <c:pt idx="32">
                  <c:v>18</c:v>
                </c:pt>
                <c:pt idx="33">
                  <c:v>18</c:v>
                </c:pt>
                <c:pt idx="34">
                  <c:v>21</c:v>
                </c:pt>
                <c:pt idx="35">
                  <c:v>40</c:v>
                </c:pt>
                <c:pt idx="36">
                  <c:v>18</c:v>
                </c:pt>
                <c:pt idx="37">
                  <c:v>38</c:v>
                </c:pt>
                <c:pt idx="38">
                  <c:v>15</c:v>
                </c:pt>
                <c:pt idx="39">
                  <c:v>19.45</c:v>
                </c:pt>
                <c:pt idx="40">
                  <c:v>13</c:v>
                </c:pt>
                <c:pt idx="41">
                  <c:v>10</c:v>
                </c:pt>
                <c:pt idx="42">
                  <c:v>20</c:v>
                </c:pt>
                <c:pt idx="43">
                  <c:v>22</c:v>
                </c:pt>
                <c:pt idx="44">
                  <c:v>12.5</c:v>
                </c:pt>
                <c:pt idx="45">
                  <c:v>14</c:v>
                </c:pt>
                <c:pt idx="46">
                  <c:v>32</c:v>
                </c:pt>
                <c:pt idx="47">
                  <c:v>9.65</c:v>
                </c:pt>
                <c:pt idx="48">
                  <c:v>97</c:v>
                </c:pt>
                <c:pt idx="49">
                  <c:v>7.75</c:v>
                </c:pt>
                <c:pt idx="50">
                  <c:v>23.25</c:v>
                </c:pt>
                <c:pt idx="51">
                  <c:v>19.5</c:v>
                </c:pt>
                <c:pt idx="52">
                  <c:v>25</c:v>
                </c:pt>
                <c:pt idx="53">
                  <c:v>21</c:v>
                </c:pt>
                <c:pt idx="54">
                  <c:v>14</c:v>
                </c:pt>
                <c:pt idx="55">
                  <c:v>13.25</c:v>
                </c:pt>
                <c:pt idx="56">
                  <c:v>9.1999999999999993</c:v>
                </c:pt>
                <c:pt idx="57">
                  <c:v>12</c:v>
                </c:pt>
                <c:pt idx="58">
                  <c:v>21.35</c:v>
                </c:pt>
                <c:pt idx="59">
                  <c:v>6</c:v>
                </c:pt>
                <c:pt idx="60">
                  <c:v>7.45</c:v>
                </c:pt>
                <c:pt idx="61">
                  <c:v>9</c:v>
                </c:pt>
                <c:pt idx="62">
                  <c:v>4.5</c:v>
                </c:pt>
                <c:pt idx="63">
                  <c:v>9.5</c:v>
                </c:pt>
                <c:pt idx="64">
                  <c:v>9.5</c:v>
                </c:pt>
                <c:pt idx="65">
                  <c:v>15</c:v>
                </c:pt>
                <c:pt idx="66">
                  <c:v>14</c:v>
                </c:pt>
                <c:pt idx="67">
                  <c:v>17</c:v>
                </c:pt>
                <c:pt idx="68">
                  <c:v>16.25</c:v>
                </c:pt>
                <c:pt idx="69">
                  <c:v>7</c:v>
                </c:pt>
                <c:pt idx="70">
                  <c:v>10</c:v>
                </c:pt>
                <c:pt idx="71">
                  <c:v>26</c:v>
                </c:pt>
                <c:pt idx="72">
                  <c:v>10</c:v>
                </c:pt>
                <c:pt idx="73">
                  <c:v>14</c:v>
                </c:pt>
                <c:pt idx="74">
                  <c:v>15.5</c:v>
                </c:pt>
                <c:pt idx="75">
                  <c:v>2.5</c:v>
                </c:pt>
                <c:pt idx="76">
                  <c:v>12.75</c:v>
                </c:pt>
              </c:numCache>
            </c:numRef>
          </c:yVal>
          <c:smooth val="0"/>
          <c:extLst>
            <c:ext xmlns:c16="http://schemas.microsoft.com/office/drawing/2014/chart" uri="{C3380CC4-5D6E-409C-BE32-E72D297353CC}">
              <c16:uniqueId val="{00000000-A7FE-4562-8ED3-8CFC9D3B5AF5}"/>
            </c:ext>
          </c:extLst>
        </c:ser>
        <c:dLbls>
          <c:showLegendKey val="0"/>
          <c:showVal val="0"/>
          <c:showCatName val="0"/>
          <c:showSerName val="0"/>
          <c:showPercent val="0"/>
          <c:showBubbleSize val="0"/>
        </c:dLbls>
        <c:axId val="646792464"/>
        <c:axId val="646795824"/>
      </c:scatterChart>
      <c:valAx>
        <c:axId val="64679246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5824"/>
        <c:crosses val="autoZero"/>
        <c:crossBetween val="midCat"/>
      </c:valAx>
      <c:valAx>
        <c:axId val="6467958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24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UnitsInStock v/s Sales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'EDA-10'!$D$4</c:f>
              <c:strCache>
                <c:ptCount val="1"/>
                <c:pt idx="0">
                  <c:v>UnitsInStock</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'EDA-10'!$E$5:$E$81</c:f>
              <c:numCache>
                <c:formatCode>General</c:formatCode>
                <c:ptCount val="77"/>
                <c:pt idx="0">
                  <c:v>149983.1</c:v>
                </c:pt>
                <c:pt idx="1">
                  <c:v>87734.35</c:v>
                </c:pt>
                <c:pt idx="2">
                  <c:v>76293.45</c:v>
                </c:pt>
                <c:pt idx="3">
                  <c:v>50282.74</c:v>
                </c:pt>
                <c:pt idx="4">
                  <c:v>49825.3</c:v>
                </c:pt>
                <c:pt idx="5">
                  <c:v>45118.1</c:v>
                </c:pt>
                <c:pt idx="6">
                  <c:v>44740.6</c:v>
                </c:pt>
                <c:pt idx="7">
                  <c:v>35479.9</c:v>
                </c:pt>
                <c:pt idx="8">
                  <c:v>31985.35</c:v>
                </c:pt>
                <c:pt idx="9">
                  <c:v>26864.35</c:v>
                </c:pt>
                <c:pt idx="10">
                  <c:v>25737.9</c:v>
                </c:pt>
                <c:pt idx="11">
                  <c:v>25077.8</c:v>
                </c:pt>
                <c:pt idx="12">
                  <c:v>24304.9</c:v>
                </c:pt>
                <c:pt idx="13">
                  <c:v>23635.06</c:v>
                </c:pt>
                <c:pt idx="14">
                  <c:v>23007.77</c:v>
                </c:pt>
                <c:pt idx="15">
                  <c:v>22463.200000000001</c:v>
                </c:pt>
                <c:pt idx="16">
                  <c:v>22138.75</c:v>
                </c:pt>
                <c:pt idx="17">
                  <c:v>21533.25</c:v>
                </c:pt>
                <c:pt idx="18">
                  <c:v>21509.05</c:v>
                </c:pt>
                <c:pt idx="19">
                  <c:v>20874.7</c:v>
                </c:pt>
                <c:pt idx="20">
                  <c:v>19509.45</c:v>
                </c:pt>
                <c:pt idx="21">
                  <c:v>19046.2</c:v>
                </c:pt>
                <c:pt idx="22">
                  <c:v>18745.169999999998</c:v>
                </c:pt>
                <c:pt idx="23">
                  <c:v>18554.7</c:v>
                </c:pt>
                <c:pt idx="24">
                  <c:v>17695.599999999999</c:v>
                </c:pt>
                <c:pt idx="25">
                  <c:v>16791.95</c:v>
                </c:pt>
                <c:pt idx="26">
                  <c:v>16437.099999999999</c:v>
                </c:pt>
                <c:pt idx="27">
                  <c:v>16169.3</c:v>
                </c:pt>
                <c:pt idx="28">
                  <c:v>15231.25</c:v>
                </c:pt>
                <c:pt idx="29">
                  <c:v>14772.94</c:v>
                </c:pt>
                <c:pt idx="30">
                  <c:v>14605.45</c:v>
                </c:pt>
                <c:pt idx="31">
                  <c:v>14540.15</c:v>
                </c:pt>
                <c:pt idx="32">
                  <c:v>14535.1</c:v>
                </c:pt>
                <c:pt idx="33">
                  <c:v>14274.65</c:v>
                </c:pt>
                <c:pt idx="34">
                  <c:v>13899.85</c:v>
                </c:pt>
                <c:pt idx="35">
                  <c:v>13759.15</c:v>
                </c:pt>
                <c:pt idx="36">
                  <c:v>13148.8</c:v>
                </c:pt>
                <c:pt idx="37">
                  <c:v>12865.9</c:v>
                </c:pt>
                <c:pt idx="38">
                  <c:v>11469.55</c:v>
                </c:pt>
                <c:pt idx="39">
                  <c:v>10522.75</c:v>
                </c:pt>
                <c:pt idx="40">
                  <c:v>9683.0499999999993</c:v>
                </c:pt>
                <c:pt idx="41">
                  <c:v>9633.7999999999993</c:v>
                </c:pt>
                <c:pt idx="42">
                  <c:v>9499.35</c:v>
                </c:pt>
                <c:pt idx="43">
                  <c:v>9423.2999999999993</c:v>
                </c:pt>
                <c:pt idx="44">
                  <c:v>9360.5</c:v>
                </c:pt>
                <c:pt idx="45">
                  <c:v>9330.75</c:v>
                </c:pt>
                <c:pt idx="46">
                  <c:v>9170.1</c:v>
                </c:pt>
                <c:pt idx="47">
                  <c:v>9096.2000000000007</c:v>
                </c:pt>
                <c:pt idx="48">
                  <c:v>8826.5</c:v>
                </c:pt>
                <c:pt idx="49">
                  <c:v>8648.15</c:v>
                </c:pt>
                <c:pt idx="50">
                  <c:v>8628.92</c:v>
                </c:pt>
                <c:pt idx="51">
                  <c:v>7807.15</c:v>
                </c:pt>
                <c:pt idx="52">
                  <c:v>7344.63</c:v>
                </c:pt>
                <c:pt idx="53">
                  <c:v>7232.1</c:v>
                </c:pt>
                <c:pt idx="54">
                  <c:v>6677.05</c:v>
                </c:pt>
                <c:pt idx="55">
                  <c:v>6662.95</c:v>
                </c:pt>
                <c:pt idx="56">
                  <c:v>6157.45</c:v>
                </c:pt>
                <c:pt idx="57">
                  <c:v>6142.28</c:v>
                </c:pt>
                <c:pt idx="58">
                  <c:v>5800.4</c:v>
                </c:pt>
                <c:pt idx="59">
                  <c:v>5232.7</c:v>
                </c:pt>
                <c:pt idx="60">
                  <c:v>5118.3999999999996</c:v>
                </c:pt>
                <c:pt idx="61">
                  <c:v>4839.45</c:v>
                </c:pt>
                <c:pt idx="62">
                  <c:v>4779.7</c:v>
                </c:pt>
                <c:pt idx="63">
                  <c:v>4739.45</c:v>
                </c:pt>
                <c:pt idx="64">
                  <c:v>4357.05</c:v>
                </c:pt>
                <c:pt idx="65">
                  <c:v>4199.34</c:v>
                </c:pt>
                <c:pt idx="66">
                  <c:v>4050.05</c:v>
                </c:pt>
                <c:pt idx="67">
                  <c:v>3518.75</c:v>
                </c:pt>
                <c:pt idx="68">
                  <c:v>3509.75</c:v>
                </c:pt>
                <c:pt idx="69">
                  <c:v>3382.6</c:v>
                </c:pt>
                <c:pt idx="70">
                  <c:v>3079.8</c:v>
                </c:pt>
                <c:pt idx="71">
                  <c:v>3046.9</c:v>
                </c:pt>
                <c:pt idx="72">
                  <c:v>2565.35</c:v>
                </c:pt>
                <c:pt idx="73">
                  <c:v>2561.4</c:v>
                </c:pt>
                <c:pt idx="74">
                  <c:v>1813.4</c:v>
                </c:pt>
                <c:pt idx="75">
                  <c:v>1712.1</c:v>
                </c:pt>
                <c:pt idx="76">
                  <c:v>1542.1</c:v>
                </c:pt>
              </c:numCache>
            </c:numRef>
          </c:xVal>
          <c:yVal>
            <c:numRef>
              <c:f>'EDA-10'!$D$5:$D$81</c:f>
              <c:numCache>
                <c:formatCode>General</c:formatCode>
                <c:ptCount val="77"/>
                <c:pt idx="0">
                  <c:v>17</c:v>
                </c:pt>
                <c:pt idx="1">
                  <c:v>0</c:v>
                </c:pt>
                <c:pt idx="2">
                  <c:v>79</c:v>
                </c:pt>
                <c:pt idx="3">
                  <c:v>19</c:v>
                </c:pt>
                <c:pt idx="4">
                  <c:v>17</c:v>
                </c:pt>
                <c:pt idx="5">
                  <c:v>21</c:v>
                </c:pt>
                <c:pt idx="6">
                  <c:v>20</c:v>
                </c:pt>
                <c:pt idx="7">
                  <c:v>0</c:v>
                </c:pt>
                <c:pt idx="8">
                  <c:v>42</c:v>
                </c:pt>
                <c:pt idx="9">
                  <c:v>26</c:v>
                </c:pt>
                <c:pt idx="10">
                  <c:v>14</c:v>
                </c:pt>
                <c:pt idx="11">
                  <c:v>17</c:v>
                </c:pt>
                <c:pt idx="12">
                  <c:v>26</c:v>
                </c:pt>
                <c:pt idx="13">
                  <c:v>40</c:v>
                </c:pt>
                <c:pt idx="14">
                  <c:v>22</c:v>
                </c:pt>
                <c:pt idx="15">
                  <c:v>15</c:v>
                </c:pt>
                <c:pt idx="16">
                  <c:v>31</c:v>
                </c:pt>
                <c:pt idx="17">
                  <c:v>15</c:v>
                </c:pt>
                <c:pt idx="18">
                  <c:v>0</c:v>
                </c:pt>
                <c:pt idx="19">
                  <c:v>26</c:v>
                </c:pt>
                <c:pt idx="20">
                  <c:v>115</c:v>
                </c:pt>
                <c:pt idx="21">
                  <c:v>123</c:v>
                </c:pt>
                <c:pt idx="22">
                  <c:v>29</c:v>
                </c:pt>
                <c:pt idx="23">
                  <c:v>17</c:v>
                </c:pt>
                <c:pt idx="24">
                  <c:v>24</c:v>
                </c:pt>
                <c:pt idx="25">
                  <c:v>57</c:v>
                </c:pt>
                <c:pt idx="26">
                  <c:v>113</c:v>
                </c:pt>
                <c:pt idx="27">
                  <c:v>0</c:v>
                </c:pt>
                <c:pt idx="28">
                  <c:v>49</c:v>
                </c:pt>
                <c:pt idx="29">
                  <c:v>10</c:v>
                </c:pt>
                <c:pt idx="30">
                  <c:v>76</c:v>
                </c:pt>
                <c:pt idx="31">
                  <c:v>112</c:v>
                </c:pt>
                <c:pt idx="32">
                  <c:v>20</c:v>
                </c:pt>
                <c:pt idx="33">
                  <c:v>39</c:v>
                </c:pt>
                <c:pt idx="34">
                  <c:v>22</c:v>
                </c:pt>
                <c:pt idx="35">
                  <c:v>6</c:v>
                </c:pt>
                <c:pt idx="36">
                  <c:v>69</c:v>
                </c:pt>
                <c:pt idx="37">
                  <c:v>86</c:v>
                </c:pt>
                <c:pt idx="38">
                  <c:v>15</c:v>
                </c:pt>
                <c:pt idx="39">
                  <c:v>27</c:v>
                </c:pt>
                <c:pt idx="40">
                  <c:v>32</c:v>
                </c:pt>
                <c:pt idx="41">
                  <c:v>3</c:v>
                </c:pt>
                <c:pt idx="42">
                  <c:v>10</c:v>
                </c:pt>
                <c:pt idx="43">
                  <c:v>53</c:v>
                </c:pt>
                <c:pt idx="44">
                  <c:v>6</c:v>
                </c:pt>
                <c:pt idx="45">
                  <c:v>26</c:v>
                </c:pt>
                <c:pt idx="46">
                  <c:v>9</c:v>
                </c:pt>
                <c:pt idx="47">
                  <c:v>85</c:v>
                </c:pt>
                <c:pt idx="48">
                  <c:v>29</c:v>
                </c:pt>
                <c:pt idx="49">
                  <c:v>125</c:v>
                </c:pt>
                <c:pt idx="50">
                  <c:v>35</c:v>
                </c:pt>
                <c:pt idx="51">
                  <c:v>36</c:v>
                </c:pt>
                <c:pt idx="52">
                  <c:v>120</c:v>
                </c:pt>
                <c:pt idx="53">
                  <c:v>104</c:v>
                </c:pt>
                <c:pt idx="54">
                  <c:v>111</c:v>
                </c:pt>
                <c:pt idx="55">
                  <c:v>62</c:v>
                </c:pt>
                <c:pt idx="56">
                  <c:v>25</c:v>
                </c:pt>
                <c:pt idx="57">
                  <c:v>95</c:v>
                </c:pt>
                <c:pt idx="58">
                  <c:v>0</c:v>
                </c:pt>
                <c:pt idx="59">
                  <c:v>24</c:v>
                </c:pt>
                <c:pt idx="60">
                  <c:v>21</c:v>
                </c:pt>
                <c:pt idx="61">
                  <c:v>61</c:v>
                </c:pt>
                <c:pt idx="62">
                  <c:v>20</c:v>
                </c:pt>
                <c:pt idx="63">
                  <c:v>5</c:v>
                </c:pt>
                <c:pt idx="64">
                  <c:v>36</c:v>
                </c:pt>
                <c:pt idx="65">
                  <c:v>101</c:v>
                </c:pt>
                <c:pt idx="66">
                  <c:v>76</c:v>
                </c:pt>
                <c:pt idx="67">
                  <c:v>4</c:v>
                </c:pt>
                <c:pt idx="68">
                  <c:v>65</c:v>
                </c:pt>
                <c:pt idx="69">
                  <c:v>38</c:v>
                </c:pt>
                <c:pt idx="70">
                  <c:v>13</c:v>
                </c:pt>
                <c:pt idx="71">
                  <c:v>11</c:v>
                </c:pt>
                <c:pt idx="72">
                  <c:v>4</c:v>
                </c:pt>
                <c:pt idx="73">
                  <c:v>52</c:v>
                </c:pt>
                <c:pt idx="74">
                  <c:v>39</c:v>
                </c:pt>
                <c:pt idx="75">
                  <c:v>112</c:v>
                </c:pt>
                <c:pt idx="76">
                  <c:v>15</c:v>
                </c:pt>
              </c:numCache>
            </c:numRef>
          </c:yVal>
          <c:smooth val="0"/>
          <c:extLst>
            <c:ext xmlns:c16="http://schemas.microsoft.com/office/drawing/2014/chart" uri="{C3380CC4-5D6E-409C-BE32-E72D297353CC}">
              <c16:uniqueId val="{00000000-0C70-41F5-BC5B-1134F8F16880}"/>
            </c:ext>
          </c:extLst>
        </c:ser>
        <c:dLbls>
          <c:showLegendKey val="0"/>
          <c:showVal val="0"/>
          <c:showCatName val="0"/>
          <c:showSerName val="0"/>
          <c:showPercent val="0"/>
          <c:showBubbleSize val="0"/>
        </c:dLbls>
        <c:axId val="646792464"/>
        <c:axId val="646795824"/>
      </c:scatterChart>
      <c:valAx>
        <c:axId val="64679246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5824"/>
        <c:crosses val="autoZero"/>
        <c:crossBetween val="midCat"/>
      </c:valAx>
      <c:valAx>
        <c:axId val="6467958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24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UnitPrice v/s</a:t>
            </a:r>
            <a:r>
              <a:rPr lang="en-US" baseline="0"/>
              <a:t> Sales</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'EDA-10'!$C$4</c:f>
              <c:strCache>
                <c:ptCount val="1"/>
                <c:pt idx="0">
                  <c:v>UnitPrice</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'EDA-10'!$E$5:$E$81</c:f>
              <c:numCache>
                <c:formatCode>General</c:formatCode>
                <c:ptCount val="77"/>
                <c:pt idx="0">
                  <c:v>149983.1</c:v>
                </c:pt>
                <c:pt idx="1">
                  <c:v>87734.35</c:v>
                </c:pt>
                <c:pt idx="2">
                  <c:v>76293.45</c:v>
                </c:pt>
                <c:pt idx="3">
                  <c:v>50282.74</c:v>
                </c:pt>
                <c:pt idx="4">
                  <c:v>49825.3</c:v>
                </c:pt>
                <c:pt idx="5">
                  <c:v>45118.1</c:v>
                </c:pt>
                <c:pt idx="6">
                  <c:v>44740.6</c:v>
                </c:pt>
                <c:pt idx="7">
                  <c:v>35479.9</c:v>
                </c:pt>
                <c:pt idx="8">
                  <c:v>31985.35</c:v>
                </c:pt>
                <c:pt idx="9">
                  <c:v>26864.35</c:v>
                </c:pt>
                <c:pt idx="10">
                  <c:v>25737.9</c:v>
                </c:pt>
                <c:pt idx="11">
                  <c:v>25077.8</c:v>
                </c:pt>
                <c:pt idx="12">
                  <c:v>24304.9</c:v>
                </c:pt>
                <c:pt idx="13">
                  <c:v>23635.06</c:v>
                </c:pt>
                <c:pt idx="14">
                  <c:v>23007.77</c:v>
                </c:pt>
                <c:pt idx="15">
                  <c:v>22463.200000000001</c:v>
                </c:pt>
                <c:pt idx="16">
                  <c:v>22138.75</c:v>
                </c:pt>
                <c:pt idx="17">
                  <c:v>21533.25</c:v>
                </c:pt>
                <c:pt idx="18">
                  <c:v>21509.05</c:v>
                </c:pt>
                <c:pt idx="19">
                  <c:v>20874.7</c:v>
                </c:pt>
                <c:pt idx="20">
                  <c:v>19509.45</c:v>
                </c:pt>
                <c:pt idx="21">
                  <c:v>19046.2</c:v>
                </c:pt>
                <c:pt idx="22">
                  <c:v>18745.169999999998</c:v>
                </c:pt>
                <c:pt idx="23">
                  <c:v>18554.7</c:v>
                </c:pt>
                <c:pt idx="24">
                  <c:v>17695.599999999999</c:v>
                </c:pt>
                <c:pt idx="25">
                  <c:v>16791.95</c:v>
                </c:pt>
                <c:pt idx="26">
                  <c:v>16437.099999999999</c:v>
                </c:pt>
                <c:pt idx="27">
                  <c:v>16169.3</c:v>
                </c:pt>
                <c:pt idx="28">
                  <c:v>15231.25</c:v>
                </c:pt>
                <c:pt idx="29">
                  <c:v>14772.94</c:v>
                </c:pt>
                <c:pt idx="30">
                  <c:v>14605.45</c:v>
                </c:pt>
                <c:pt idx="31">
                  <c:v>14540.15</c:v>
                </c:pt>
                <c:pt idx="32">
                  <c:v>14535.1</c:v>
                </c:pt>
                <c:pt idx="33">
                  <c:v>14274.65</c:v>
                </c:pt>
                <c:pt idx="34">
                  <c:v>13899.85</c:v>
                </c:pt>
                <c:pt idx="35">
                  <c:v>13759.15</c:v>
                </c:pt>
                <c:pt idx="36">
                  <c:v>13148.8</c:v>
                </c:pt>
                <c:pt idx="37">
                  <c:v>12865.9</c:v>
                </c:pt>
                <c:pt idx="38">
                  <c:v>11469.55</c:v>
                </c:pt>
                <c:pt idx="39">
                  <c:v>10522.75</c:v>
                </c:pt>
                <c:pt idx="40">
                  <c:v>9683.0499999999993</c:v>
                </c:pt>
                <c:pt idx="41">
                  <c:v>9633.7999999999993</c:v>
                </c:pt>
                <c:pt idx="42">
                  <c:v>9499.35</c:v>
                </c:pt>
                <c:pt idx="43">
                  <c:v>9423.2999999999993</c:v>
                </c:pt>
                <c:pt idx="44">
                  <c:v>9360.5</c:v>
                </c:pt>
                <c:pt idx="45">
                  <c:v>9330.75</c:v>
                </c:pt>
                <c:pt idx="46">
                  <c:v>9170.1</c:v>
                </c:pt>
                <c:pt idx="47">
                  <c:v>9096.2000000000007</c:v>
                </c:pt>
                <c:pt idx="48">
                  <c:v>8826.5</c:v>
                </c:pt>
                <c:pt idx="49">
                  <c:v>8648.15</c:v>
                </c:pt>
                <c:pt idx="50">
                  <c:v>8628.92</c:v>
                </c:pt>
                <c:pt idx="51">
                  <c:v>7807.15</c:v>
                </c:pt>
                <c:pt idx="52">
                  <c:v>7344.63</c:v>
                </c:pt>
                <c:pt idx="53">
                  <c:v>7232.1</c:v>
                </c:pt>
                <c:pt idx="54">
                  <c:v>6677.05</c:v>
                </c:pt>
                <c:pt idx="55">
                  <c:v>6662.95</c:v>
                </c:pt>
                <c:pt idx="56">
                  <c:v>6157.45</c:v>
                </c:pt>
                <c:pt idx="57">
                  <c:v>6142.28</c:v>
                </c:pt>
                <c:pt idx="58">
                  <c:v>5800.4</c:v>
                </c:pt>
                <c:pt idx="59">
                  <c:v>5232.7</c:v>
                </c:pt>
                <c:pt idx="60">
                  <c:v>5118.3999999999996</c:v>
                </c:pt>
                <c:pt idx="61">
                  <c:v>4839.45</c:v>
                </c:pt>
                <c:pt idx="62">
                  <c:v>4779.7</c:v>
                </c:pt>
                <c:pt idx="63">
                  <c:v>4739.45</c:v>
                </c:pt>
                <c:pt idx="64">
                  <c:v>4357.05</c:v>
                </c:pt>
                <c:pt idx="65">
                  <c:v>4199.34</c:v>
                </c:pt>
                <c:pt idx="66">
                  <c:v>4050.05</c:v>
                </c:pt>
                <c:pt idx="67">
                  <c:v>3518.75</c:v>
                </c:pt>
                <c:pt idx="68">
                  <c:v>3509.75</c:v>
                </c:pt>
                <c:pt idx="69">
                  <c:v>3382.6</c:v>
                </c:pt>
                <c:pt idx="70">
                  <c:v>3079.8</c:v>
                </c:pt>
                <c:pt idx="71">
                  <c:v>3046.9</c:v>
                </c:pt>
                <c:pt idx="72">
                  <c:v>2565.35</c:v>
                </c:pt>
                <c:pt idx="73">
                  <c:v>2561.4</c:v>
                </c:pt>
                <c:pt idx="74">
                  <c:v>1813.4</c:v>
                </c:pt>
                <c:pt idx="75">
                  <c:v>1712.1</c:v>
                </c:pt>
                <c:pt idx="76">
                  <c:v>1542.1</c:v>
                </c:pt>
              </c:numCache>
            </c:numRef>
          </c:xVal>
          <c:yVal>
            <c:numRef>
              <c:f>'EDA-10'!$C$5:$C$81</c:f>
              <c:numCache>
                <c:formatCode>General</c:formatCode>
                <c:ptCount val="77"/>
                <c:pt idx="0">
                  <c:v>263.5</c:v>
                </c:pt>
                <c:pt idx="1">
                  <c:v>123.79</c:v>
                </c:pt>
                <c:pt idx="2">
                  <c:v>55</c:v>
                </c:pt>
                <c:pt idx="3">
                  <c:v>34</c:v>
                </c:pt>
                <c:pt idx="4">
                  <c:v>49.3</c:v>
                </c:pt>
                <c:pt idx="5">
                  <c:v>38</c:v>
                </c:pt>
                <c:pt idx="6">
                  <c:v>53</c:v>
                </c:pt>
                <c:pt idx="7">
                  <c:v>39</c:v>
                </c:pt>
                <c:pt idx="8">
                  <c:v>62.5</c:v>
                </c:pt>
                <c:pt idx="9">
                  <c:v>45.6</c:v>
                </c:pt>
                <c:pt idx="10">
                  <c:v>34.799999999999997</c:v>
                </c:pt>
                <c:pt idx="11">
                  <c:v>46</c:v>
                </c:pt>
                <c:pt idx="12">
                  <c:v>36</c:v>
                </c:pt>
                <c:pt idx="13">
                  <c:v>81</c:v>
                </c:pt>
                <c:pt idx="14">
                  <c:v>33.25</c:v>
                </c:pt>
                <c:pt idx="15">
                  <c:v>30</c:v>
                </c:pt>
                <c:pt idx="16">
                  <c:v>31</c:v>
                </c:pt>
                <c:pt idx="17">
                  <c:v>31.23</c:v>
                </c:pt>
                <c:pt idx="18">
                  <c:v>32.799999999999997</c:v>
                </c:pt>
                <c:pt idx="19">
                  <c:v>21.5</c:v>
                </c:pt>
                <c:pt idx="20">
                  <c:v>24</c:v>
                </c:pt>
                <c:pt idx="21">
                  <c:v>18.399999999999999</c:v>
                </c:pt>
                <c:pt idx="22">
                  <c:v>17.45</c:v>
                </c:pt>
                <c:pt idx="23">
                  <c:v>19</c:v>
                </c:pt>
                <c:pt idx="24">
                  <c:v>43.9</c:v>
                </c:pt>
                <c:pt idx="25">
                  <c:v>18</c:v>
                </c:pt>
                <c:pt idx="26">
                  <c:v>28.5</c:v>
                </c:pt>
                <c:pt idx="27">
                  <c:v>12.5</c:v>
                </c:pt>
                <c:pt idx="28">
                  <c:v>43.9</c:v>
                </c:pt>
                <c:pt idx="29">
                  <c:v>25.89</c:v>
                </c:pt>
                <c:pt idx="30">
                  <c:v>21.05</c:v>
                </c:pt>
                <c:pt idx="31">
                  <c:v>19</c:v>
                </c:pt>
                <c:pt idx="32">
                  <c:v>18</c:v>
                </c:pt>
                <c:pt idx="33">
                  <c:v>18</c:v>
                </c:pt>
                <c:pt idx="34">
                  <c:v>21</c:v>
                </c:pt>
                <c:pt idx="35">
                  <c:v>40</c:v>
                </c:pt>
                <c:pt idx="36">
                  <c:v>18</c:v>
                </c:pt>
                <c:pt idx="37">
                  <c:v>38</c:v>
                </c:pt>
                <c:pt idx="38">
                  <c:v>15</c:v>
                </c:pt>
                <c:pt idx="39">
                  <c:v>19.45</c:v>
                </c:pt>
                <c:pt idx="40">
                  <c:v>13</c:v>
                </c:pt>
                <c:pt idx="41">
                  <c:v>10</c:v>
                </c:pt>
                <c:pt idx="42">
                  <c:v>20</c:v>
                </c:pt>
                <c:pt idx="43">
                  <c:v>22</c:v>
                </c:pt>
                <c:pt idx="44">
                  <c:v>12.5</c:v>
                </c:pt>
                <c:pt idx="45">
                  <c:v>14</c:v>
                </c:pt>
                <c:pt idx="46">
                  <c:v>32</c:v>
                </c:pt>
                <c:pt idx="47">
                  <c:v>9.65</c:v>
                </c:pt>
                <c:pt idx="48">
                  <c:v>97</c:v>
                </c:pt>
                <c:pt idx="49">
                  <c:v>7.75</c:v>
                </c:pt>
                <c:pt idx="50">
                  <c:v>23.25</c:v>
                </c:pt>
                <c:pt idx="51">
                  <c:v>19.5</c:v>
                </c:pt>
                <c:pt idx="52">
                  <c:v>25</c:v>
                </c:pt>
                <c:pt idx="53">
                  <c:v>21</c:v>
                </c:pt>
                <c:pt idx="54">
                  <c:v>14</c:v>
                </c:pt>
                <c:pt idx="55">
                  <c:v>13.25</c:v>
                </c:pt>
                <c:pt idx="56">
                  <c:v>9.1999999999999993</c:v>
                </c:pt>
                <c:pt idx="57">
                  <c:v>12</c:v>
                </c:pt>
                <c:pt idx="58">
                  <c:v>21.35</c:v>
                </c:pt>
                <c:pt idx="59">
                  <c:v>6</c:v>
                </c:pt>
                <c:pt idx="60">
                  <c:v>7.45</c:v>
                </c:pt>
                <c:pt idx="61">
                  <c:v>9</c:v>
                </c:pt>
                <c:pt idx="62">
                  <c:v>4.5</c:v>
                </c:pt>
                <c:pt idx="63">
                  <c:v>9.5</c:v>
                </c:pt>
                <c:pt idx="64">
                  <c:v>9.5</c:v>
                </c:pt>
                <c:pt idx="65">
                  <c:v>15</c:v>
                </c:pt>
                <c:pt idx="66">
                  <c:v>14</c:v>
                </c:pt>
                <c:pt idx="67">
                  <c:v>17</c:v>
                </c:pt>
                <c:pt idx="68">
                  <c:v>16.25</c:v>
                </c:pt>
                <c:pt idx="69">
                  <c:v>7</c:v>
                </c:pt>
                <c:pt idx="70">
                  <c:v>10</c:v>
                </c:pt>
                <c:pt idx="71">
                  <c:v>26</c:v>
                </c:pt>
                <c:pt idx="72">
                  <c:v>10</c:v>
                </c:pt>
                <c:pt idx="73">
                  <c:v>14</c:v>
                </c:pt>
                <c:pt idx="74">
                  <c:v>15.5</c:v>
                </c:pt>
                <c:pt idx="75">
                  <c:v>2.5</c:v>
                </c:pt>
                <c:pt idx="76">
                  <c:v>12.75</c:v>
                </c:pt>
              </c:numCache>
            </c:numRef>
          </c:yVal>
          <c:smooth val="0"/>
          <c:extLst>
            <c:ext xmlns:c16="http://schemas.microsoft.com/office/drawing/2014/chart" uri="{C3380CC4-5D6E-409C-BE32-E72D297353CC}">
              <c16:uniqueId val="{00000000-5DC6-413A-9037-43FA764B97FB}"/>
            </c:ext>
          </c:extLst>
        </c:ser>
        <c:dLbls>
          <c:showLegendKey val="0"/>
          <c:showVal val="0"/>
          <c:showCatName val="0"/>
          <c:showSerName val="0"/>
          <c:showPercent val="0"/>
          <c:showBubbleSize val="0"/>
        </c:dLbls>
        <c:axId val="646792464"/>
        <c:axId val="646795824"/>
      </c:scatterChart>
      <c:valAx>
        <c:axId val="64679246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5824"/>
        <c:crosses val="autoZero"/>
        <c:crossBetween val="midCat"/>
      </c:valAx>
      <c:valAx>
        <c:axId val="6467958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67924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Project.xlsx]EDA-11!PivotTable1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Product Demand Over Month</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'EDA-11'!$I$19</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'EDA-11'!$H$20:$H$32</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'EDA-11'!$I$20:$I$32</c:f>
              <c:numCache>
                <c:formatCode>General</c:formatCode>
                <c:ptCount val="12"/>
                <c:pt idx="0">
                  <c:v>4882</c:v>
                </c:pt>
                <c:pt idx="1">
                  <c:v>5244</c:v>
                </c:pt>
                <c:pt idx="2">
                  <c:v>5870</c:v>
                </c:pt>
                <c:pt idx="3">
                  <c:v>5687</c:v>
                </c:pt>
                <c:pt idx="4">
                  <c:v>7017</c:v>
                </c:pt>
                <c:pt idx="5">
                  <c:v>2808</c:v>
                </c:pt>
                <c:pt idx="6">
                  <c:v>1635</c:v>
                </c:pt>
                <c:pt idx="7">
                  <c:v>3516</c:v>
                </c:pt>
                <c:pt idx="8">
                  <c:v>3183</c:v>
                </c:pt>
                <c:pt idx="9">
                  <c:v>3467</c:v>
                </c:pt>
                <c:pt idx="10">
                  <c:v>4326</c:v>
                </c:pt>
                <c:pt idx="11">
                  <c:v>3682</c:v>
                </c:pt>
              </c:numCache>
            </c:numRef>
          </c:val>
          <c:smooth val="0"/>
          <c:extLst>
            <c:ext xmlns:c16="http://schemas.microsoft.com/office/drawing/2014/chart" uri="{C3380CC4-5D6E-409C-BE32-E72D297353CC}">
              <c16:uniqueId val="{00000000-C918-4A55-9FBD-EA576E3BD9C1}"/>
            </c:ext>
          </c:extLst>
        </c:ser>
        <c:dLbls>
          <c:dLblPos val="t"/>
          <c:showLegendKey val="0"/>
          <c:showVal val="1"/>
          <c:showCatName val="0"/>
          <c:showSerName val="0"/>
          <c:showPercent val="0"/>
          <c:showBubbleSize val="0"/>
        </c:dLbls>
        <c:marker val="1"/>
        <c:smooth val="0"/>
        <c:axId val="237106880"/>
        <c:axId val="1291481648"/>
      </c:lineChart>
      <c:catAx>
        <c:axId val="23710688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91481648"/>
        <c:crosses val="autoZero"/>
        <c:auto val="1"/>
        <c:lblAlgn val="ctr"/>
        <c:lblOffset val="100"/>
        <c:noMultiLvlLbl val="0"/>
      </c:catAx>
      <c:valAx>
        <c:axId val="129148164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71068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'EDA-2'!$D$11</c:f>
              <c:strCache>
                <c:ptCount val="1"/>
                <c:pt idx="0">
                  <c:v>total_orders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'EDA-2'!$B$12:$B$81</c:f>
              <c:strCache>
                <c:ptCount val="70"/>
                <c:pt idx="0">
                  <c:v>Rio de Janeiro</c:v>
                </c:pt>
                <c:pt idx="1">
                  <c:v>London</c:v>
                </c:pt>
                <c:pt idx="2">
                  <c:v>Boise</c:v>
                </c:pt>
                <c:pt idx="3">
                  <c:v>São Paulo</c:v>
                </c:pt>
                <c:pt idx="4">
                  <c:v>Graz</c:v>
                </c:pt>
                <c:pt idx="5">
                  <c:v>Cunewalde</c:v>
                </c:pt>
                <c:pt idx="6">
                  <c:v>México D.F.</c:v>
                </c:pt>
                <c:pt idx="7">
                  <c:v>Cork</c:v>
                </c:pt>
                <c:pt idx="8">
                  <c:v>Bräcke</c:v>
                </c:pt>
                <c:pt idx="9">
                  <c:v>Albuquerque</c:v>
                </c:pt>
                <c:pt idx="10">
                  <c:v>Luleå</c:v>
                </c:pt>
                <c:pt idx="11">
                  <c:v>San Cristóbal</c:v>
                </c:pt>
                <c:pt idx="12">
                  <c:v>Marseille</c:v>
                </c:pt>
                <c:pt idx="13">
                  <c:v>Buenos Aires</c:v>
                </c:pt>
                <c:pt idx="14">
                  <c:v>München</c:v>
                </c:pt>
                <c:pt idx="15">
                  <c:v>Frankfurt a.M. </c:v>
                </c:pt>
                <c:pt idx="16">
                  <c:v>Oulu</c:v>
                </c:pt>
                <c:pt idx="17">
                  <c:v>Brandenburg</c:v>
                </c:pt>
                <c:pt idx="18">
                  <c:v>Seattle</c:v>
                </c:pt>
                <c:pt idx="19">
                  <c:v>Tsawassen</c:v>
                </c:pt>
                <c:pt idx="20">
                  <c:v>Barquisimeto</c:v>
                </c:pt>
                <c:pt idx="21">
                  <c:v>Toulouse</c:v>
                </c:pt>
                <c:pt idx="22">
                  <c:v>Montréal</c:v>
                </c:pt>
                <c:pt idx="23">
                  <c:v>Colchester</c:v>
                </c:pt>
                <c:pt idx="24">
                  <c:v>Lisboa</c:v>
                </c:pt>
                <c:pt idx="25">
                  <c:v>Charleroi</c:v>
                </c:pt>
                <c:pt idx="26">
                  <c:v>I. de Margarita</c:v>
                </c:pt>
                <c:pt idx="27">
                  <c:v>Portland</c:v>
                </c:pt>
                <c:pt idx="28">
                  <c:v>Reggio Emilia</c:v>
                </c:pt>
                <c:pt idx="29">
                  <c:v>Eugene</c:v>
                </c:pt>
                <c:pt idx="30">
                  <c:v>Strasbourg</c:v>
                </c:pt>
                <c:pt idx="31">
                  <c:v>Århus</c:v>
                </c:pt>
                <c:pt idx="32">
                  <c:v>Salzburg</c:v>
                </c:pt>
                <c:pt idx="33">
                  <c:v>Genève</c:v>
                </c:pt>
                <c:pt idx="34">
                  <c:v>Anchorage</c:v>
                </c:pt>
                <c:pt idx="35">
                  <c:v>Köln</c:v>
                </c:pt>
                <c:pt idx="36">
                  <c:v>Sevilla</c:v>
                </c:pt>
                <c:pt idx="37">
                  <c:v>Stuttgart</c:v>
                </c:pt>
                <c:pt idx="38">
                  <c:v>Lyon</c:v>
                </c:pt>
                <c:pt idx="39">
                  <c:v>Bergamo</c:v>
                </c:pt>
                <c:pt idx="40">
                  <c:v>Cowes</c:v>
                </c:pt>
                <c:pt idx="41">
                  <c:v>Lander</c:v>
                </c:pt>
                <c:pt idx="42">
                  <c:v>Campinas</c:v>
                </c:pt>
                <c:pt idx="43">
                  <c:v>Resende</c:v>
                </c:pt>
                <c:pt idx="44">
                  <c:v>Bern</c:v>
                </c:pt>
                <c:pt idx="45">
                  <c:v>Madrid</c:v>
                </c:pt>
                <c:pt idx="46">
                  <c:v>København</c:v>
                </c:pt>
                <c:pt idx="47">
                  <c:v>Bruxelles</c:v>
                </c:pt>
                <c:pt idx="48">
                  <c:v>Nantes</c:v>
                </c:pt>
                <c:pt idx="49">
                  <c:v>Warszawa</c:v>
                </c:pt>
                <c:pt idx="50">
                  <c:v>Mannheim</c:v>
                </c:pt>
                <c:pt idx="51">
                  <c:v>Helsinki</c:v>
                </c:pt>
                <c:pt idx="52">
                  <c:v>Stavern</c:v>
                </c:pt>
                <c:pt idx="53">
                  <c:v>Münster</c:v>
                </c:pt>
                <c:pt idx="54">
                  <c:v>Berlin</c:v>
                </c:pt>
                <c:pt idx="55">
                  <c:v>Aachen</c:v>
                </c:pt>
                <c:pt idx="56">
                  <c:v>Torino</c:v>
                </c:pt>
                <c:pt idx="57">
                  <c:v>Lille</c:v>
                </c:pt>
                <c:pt idx="58">
                  <c:v>Leipzig</c:v>
                </c:pt>
                <c:pt idx="59">
                  <c:v>Elgin</c:v>
                </c:pt>
                <c:pt idx="60">
                  <c:v>Reims</c:v>
                </c:pt>
                <c:pt idx="61">
                  <c:v>Barcelona</c:v>
                </c:pt>
                <c:pt idx="62">
                  <c:v>San Francisco</c:v>
                </c:pt>
                <c:pt idx="63">
                  <c:v>Paris</c:v>
                </c:pt>
                <c:pt idx="64">
                  <c:v>Versailles</c:v>
                </c:pt>
                <c:pt idx="65">
                  <c:v>Butte</c:v>
                </c:pt>
                <c:pt idx="66">
                  <c:v>Kirkland</c:v>
                </c:pt>
                <c:pt idx="67">
                  <c:v>Vancouver</c:v>
                </c:pt>
                <c:pt idx="68">
                  <c:v>Caracas</c:v>
                </c:pt>
                <c:pt idx="69">
                  <c:v>Walla Walla</c:v>
                </c:pt>
              </c:strCache>
            </c:strRef>
          </c:cat>
          <c:val>
            <c:numRef>
              <c:f>'EDA-2'!$D$12:$D$81</c:f>
              <c:numCache>
                <c:formatCode>General</c:formatCode>
                <c:ptCount val="70"/>
                <c:pt idx="0">
                  <c:v>34</c:v>
                </c:pt>
                <c:pt idx="1">
                  <c:v>33</c:v>
                </c:pt>
                <c:pt idx="2">
                  <c:v>31</c:v>
                </c:pt>
                <c:pt idx="3">
                  <c:v>31</c:v>
                </c:pt>
                <c:pt idx="4">
                  <c:v>30</c:v>
                </c:pt>
                <c:pt idx="5">
                  <c:v>28</c:v>
                </c:pt>
                <c:pt idx="6">
                  <c:v>28</c:v>
                </c:pt>
                <c:pt idx="7">
                  <c:v>19</c:v>
                </c:pt>
                <c:pt idx="8">
                  <c:v>19</c:v>
                </c:pt>
                <c:pt idx="9">
                  <c:v>18</c:v>
                </c:pt>
                <c:pt idx="10">
                  <c:v>18</c:v>
                </c:pt>
                <c:pt idx="11">
                  <c:v>18</c:v>
                </c:pt>
                <c:pt idx="12">
                  <c:v>17</c:v>
                </c:pt>
                <c:pt idx="13">
                  <c:v>16</c:v>
                </c:pt>
                <c:pt idx="14">
                  <c:v>15</c:v>
                </c:pt>
                <c:pt idx="15">
                  <c:v>15</c:v>
                </c:pt>
                <c:pt idx="16">
                  <c:v>15</c:v>
                </c:pt>
                <c:pt idx="17">
                  <c:v>14</c:v>
                </c:pt>
                <c:pt idx="18">
                  <c:v>14</c:v>
                </c:pt>
                <c:pt idx="19">
                  <c:v>14</c:v>
                </c:pt>
                <c:pt idx="20">
                  <c:v>14</c:v>
                </c:pt>
                <c:pt idx="21">
                  <c:v>14</c:v>
                </c:pt>
                <c:pt idx="22">
                  <c:v>13</c:v>
                </c:pt>
                <c:pt idx="23">
                  <c:v>13</c:v>
                </c:pt>
                <c:pt idx="24">
                  <c:v>13</c:v>
                </c:pt>
                <c:pt idx="25">
                  <c:v>12</c:v>
                </c:pt>
                <c:pt idx="26">
                  <c:v>12</c:v>
                </c:pt>
                <c:pt idx="27">
                  <c:v>12</c:v>
                </c:pt>
                <c:pt idx="28">
                  <c:v>12</c:v>
                </c:pt>
                <c:pt idx="29">
                  <c:v>11</c:v>
                </c:pt>
                <c:pt idx="30">
                  <c:v>11</c:v>
                </c:pt>
                <c:pt idx="31">
                  <c:v>11</c:v>
                </c:pt>
                <c:pt idx="32">
                  <c:v>10</c:v>
                </c:pt>
                <c:pt idx="33">
                  <c:v>10</c:v>
                </c:pt>
                <c:pt idx="34">
                  <c:v>10</c:v>
                </c:pt>
                <c:pt idx="35">
                  <c:v>10</c:v>
                </c:pt>
                <c:pt idx="36">
                  <c:v>10</c:v>
                </c:pt>
                <c:pt idx="37">
                  <c:v>10</c:v>
                </c:pt>
                <c:pt idx="38">
                  <c:v>10</c:v>
                </c:pt>
                <c:pt idx="39">
                  <c:v>10</c:v>
                </c:pt>
                <c:pt idx="40">
                  <c:v>10</c:v>
                </c:pt>
                <c:pt idx="41">
                  <c:v>9</c:v>
                </c:pt>
                <c:pt idx="42">
                  <c:v>9</c:v>
                </c:pt>
                <c:pt idx="43">
                  <c:v>9</c:v>
                </c:pt>
                <c:pt idx="44">
                  <c:v>8</c:v>
                </c:pt>
                <c:pt idx="45">
                  <c:v>8</c:v>
                </c:pt>
                <c:pt idx="46">
                  <c:v>7</c:v>
                </c:pt>
                <c:pt idx="47">
                  <c:v>7</c:v>
                </c:pt>
                <c:pt idx="48">
                  <c:v>7</c:v>
                </c:pt>
                <c:pt idx="49">
                  <c:v>7</c:v>
                </c:pt>
                <c:pt idx="50">
                  <c:v>7</c:v>
                </c:pt>
                <c:pt idx="51">
                  <c:v>7</c:v>
                </c:pt>
                <c:pt idx="52">
                  <c:v>6</c:v>
                </c:pt>
                <c:pt idx="53">
                  <c:v>6</c:v>
                </c:pt>
                <c:pt idx="54">
                  <c:v>6</c:v>
                </c:pt>
                <c:pt idx="55">
                  <c:v>6</c:v>
                </c:pt>
                <c:pt idx="56">
                  <c:v>6</c:v>
                </c:pt>
                <c:pt idx="57">
                  <c:v>5</c:v>
                </c:pt>
                <c:pt idx="58">
                  <c:v>5</c:v>
                </c:pt>
                <c:pt idx="59">
                  <c:v>5</c:v>
                </c:pt>
                <c:pt idx="60">
                  <c:v>5</c:v>
                </c:pt>
                <c:pt idx="61">
                  <c:v>5</c:v>
                </c:pt>
                <c:pt idx="62">
                  <c:v>4</c:v>
                </c:pt>
                <c:pt idx="63">
                  <c:v>4</c:v>
                </c:pt>
                <c:pt idx="64">
                  <c:v>4</c:v>
                </c:pt>
                <c:pt idx="65">
                  <c:v>3</c:v>
                </c:pt>
                <c:pt idx="66">
                  <c:v>3</c:v>
                </c:pt>
                <c:pt idx="67">
                  <c:v>3</c:v>
                </c:pt>
                <c:pt idx="68">
                  <c:v>2</c:v>
                </c:pt>
                <c:pt idx="69">
                  <c:v>2</c:v>
                </c:pt>
              </c:numCache>
            </c:numRef>
          </c:val>
          <c:extLst>
            <c:ext xmlns:c16="http://schemas.microsoft.com/office/drawing/2014/chart" uri="{C3380CC4-5D6E-409C-BE32-E72D297353CC}">
              <c16:uniqueId val="{00000000-EEA4-4F55-9A02-C08182DAE0EB}"/>
            </c:ext>
          </c:extLst>
        </c:ser>
        <c:dLbls>
          <c:dLblPos val="outEnd"/>
          <c:showLegendKey val="0"/>
          <c:showVal val="1"/>
          <c:showCatName val="0"/>
          <c:showSerName val="0"/>
          <c:showPercent val="0"/>
          <c:showBubbleSize val="0"/>
        </c:dLbls>
        <c:gapWidth val="100"/>
        <c:overlap val="-24"/>
        <c:axId val="1158877279"/>
        <c:axId val="1158877759"/>
        <c:extLst>
          <c:ext xmlns:c15="http://schemas.microsoft.com/office/drawing/2012/chart" uri="{02D57815-91ED-43cb-92C2-25804820EDAC}">
            <c15:filteredBarSeries>
              <c15:ser>
                <c:idx val="0"/>
                <c:order val="0"/>
                <c:tx>
                  <c:strRef>
                    <c:extLst>
                      <c:ext uri="{02D57815-91ED-43cb-92C2-25804820EDAC}">
                        <c15:formulaRef>
                          <c15:sqref>'EDA-2'!$C$11</c15:sqref>
                        </c15:formulaRef>
                      </c:ext>
                    </c:extLst>
                    <c:strCache>
                      <c:ptCount val="1"/>
                      <c:pt idx="0">
                        <c:v>num_customers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lt1">
                                <a:lumMod val="95000"/>
                                <a:alpha val="54000"/>
                              </a:schemeClr>
                            </a:solidFill>
                          </a:ln>
                          <a:effectLst/>
                        </c:spPr>
                      </c15:leaderLines>
                    </c:ext>
                  </c:extLst>
                </c:dLbls>
                <c:cat>
                  <c:strRef>
                    <c:extLst>
                      <c:ext uri="{02D57815-91ED-43cb-92C2-25804820EDAC}">
                        <c15:formulaRef>
                          <c15:sqref>'EDA-2'!$B$12:$B$81</c15:sqref>
                        </c15:formulaRef>
                      </c:ext>
                    </c:extLst>
                    <c:strCache>
                      <c:ptCount val="70"/>
                      <c:pt idx="0">
                        <c:v>Rio de Janeiro</c:v>
                      </c:pt>
                      <c:pt idx="1">
                        <c:v>London</c:v>
                      </c:pt>
                      <c:pt idx="2">
                        <c:v>Boise</c:v>
                      </c:pt>
                      <c:pt idx="3">
                        <c:v>São Paulo</c:v>
                      </c:pt>
                      <c:pt idx="4">
                        <c:v>Graz</c:v>
                      </c:pt>
                      <c:pt idx="5">
                        <c:v>Cunewalde</c:v>
                      </c:pt>
                      <c:pt idx="6">
                        <c:v>México D.F.</c:v>
                      </c:pt>
                      <c:pt idx="7">
                        <c:v>Cork</c:v>
                      </c:pt>
                      <c:pt idx="8">
                        <c:v>Bräcke</c:v>
                      </c:pt>
                      <c:pt idx="9">
                        <c:v>Albuquerque</c:v>
                      </c:pt>
                      <c:pt idx="10">
                        <c:v>Luleå</c:v>
                      </c:pt>
                      <c:pt idx="11">
                        <c:v>San Cristóbal</c:v>
                      </c:pt>
                      <c:pt idx="12">
                        <c:v>Marseille</c:v>
                      </c:pt>
                      <c:pt idx="13">
                        <c:v>Buenos Aires</c:v>
                      </c:pt>
                      <c:pt idx="14">
                        <c:v>München</c:v>
                      </c:pt>
                      <c:pt idx="15">
                        <c:v>Frankfurt a.M. </c:v>
                      </c:pt>
                      <c:pt idx="16">
                        <c:v>Oulu</c:v>
                      </c:pt>
                      <c:pt idx="17">
                        <c:v>Brandenburg</c:v>
                      </c:pt>
                      <c:pt idx="18">
                        <c:v>Seattle</c:v>
                      </c:pt>
                      <c:pt idx="19">
                        <c:v>Tsawassen</c:v>
                      </c:pt>
                      <c:pt idx="20">
                        <c:v>Barquisimeto</c:v>
                      </c:pt>
                      <c:pt idx="21">
                        <c:v>Toulouse</c:v>
                      </c:pt>
                      <c:pt idx="22">
                        <c:v>Montréal</c:v>
                      </c:pt>
                      <c:pt idx="23">
                        <c:v>Colchester</c:v>
                      </c:pt>
                      <c:pt idx="24">
                        <c:v>Lisboa</c:v>
                      </c:pt>
                      <c:pt idx="25">
                        <c:v>Charleroi</c:v>
                      </c:pt>
                      <c:pt idx="26">
                        <c:v>I. de Margarita</c:v>
                      </c:pt>
                      <c:pt idx="27">
                        <c:v>Portland</c:v>
                      </c:pt>
                      <c:pt idx="28">
                        <c:v>Reggio Emilia</c:v>
                      </c:pt>
                      <c:pt idx="29">
                        <c:v>Eugene</c:v>
                      </c:pt>
                      <c:pt idx="30">
                        <c:v>Strasbourg</c:v>
                      </c:pt>
                      <c:pt idx="31">
                        <c:v>Århus</c:v>
                      </c:pt>
                      <c:pt idx="32">
                        <c:v>Salzburg</c:v>
                      </c:pt>
                      <c:pt idx="33">
                        <c:v>Genève</c:v>
                      </c:pt>
                      <c:pt idx="34">
                        <c:v>Anchorage</c:v>
                      </c:pt>
                      <c:pt idx="35">
                        <c:v>Köln</c:v>
                      </c:pt>
                      <c:pt idx="36">
                        <c:v>Sevilla</c:v>
                      </c:pt>
                      <c:pt idx="37">
                        <c:v>Stuttgart</c:v>
                      </c:pt>
                      <c:pt idx="38">
                        <c:v>Lyon</c:v>
                      </c:pt>
                      <c:pt idx="39">
                        <c:v>Bergamo</c:v>
                      </c:pt>
                      <c:pt idx="40">
                        <c:v>Cowes</c:v>
                      </c:pt>
                      <c:pt idx="41">
                        <c:v>Lander</c:v>
                      </c:pt>
                      <c:pt idx="42">
                        <c:v>Campinas</c:v>
                      </c:pt>
                      <c:pt idx="43">
                        <c:v>Resende</c:v>
                      </c:pt>
                      <c:pt idx="44">
                        <c:v>Bern</c:v>
                      </c:pt>
                      <c:pt idx="45">
                        <c:v>Madrid</c:v>
                      </c:pt>
                      <c:pt idx="46">
                        <c:v>København</c:v>
                      </c:pt>
                      <c:pt idx="47">
                        <c:v>Bruxelles</c:v>
                      </c:pt>
                      <c:pt idx="48">
                        <c:v>Nantes</c:v>
                      </c:pt>
                      <c:pt idx="49">
                        <c:v>Warszawa</c:v>
                      </c:pt>
                      <c:pt idx="50">
                        <c:v>Mannheim</c:v>
                      </c:pt>
                      <c:pt idx="51">
                        <c:v>Helsinki</c:v>
                      </c:pt>
                      <c:pt idx="52">
                        <c:v>Stavern</c:v>
                      </c:pt>
                      <c:pt idx="53">
                        <c:v>Münster</c:v>
                      </c:pt>
                      <c:pt idx="54">
                        <c:v>Berlin</c:v>
                      </c:pt>
                      <c:pt idx="55">
                        <c:v>Aachen</c:v>
                      </c:pt>
                      <c:pt idx="56">
                        <c:v>Torino</c:v>
                      </c:pt>
                      <c:pt idx="57">
                        <c:v>Lille</c:v>
                      </c:pt>
                      <c:pt idx="58">
                        <c:v>Leipzig</c:v>
                      </c:pt>
                      <c:pt idx="59">
                        <c:v>Elgin</c:v>
                      </c:pt>
                      <c:pt idx="60">
                        <c:v>Reims</c:v>
                      </c:pt>
                      <c:pt idx="61">
                        <c:v>Barcelona</c:v>
                      </c:pt>
                      <c:pt idx="62">
                        <c:v>San Francisco</c:v>
                      </c:pt>
                      <c:pt idx="63">
                        <c:v>Paris</c:v>
                      </c:pt>
                      <c:pt idx="64">
                        <c:v>Versailles</c:v>
                      </c:pt>
                      <c:pt idx="65">
                        <c:v>Butte</c:v>
                      </c:pt>
                      <c:pt idx="66">
                        <c:v>Kirkland</c:v>
                      </c:pt>
                      <c:pt idx="67">
                        <c:v>Vancouver</c:v>
                      </c:pt>
                      <c:pt idx="68">
                        <c:v>Caracas</c:v>
                      </c:pt>
                      <c:pt idx="69">
                        <c:v>Walla Walla</c:v>
                      </c:pt>
                    </c:strCache>
                  </c:strRef>
                </c:cat>
                <c:val>
                  <c:numRef>
                    <c:extLst>
                      <c:ext uri="{02D57815-91ED-43cb-92C2-25804820EDAC}">
                        <c15:formulaRef>
                          <c15:sqref>'EDA-2'!$C$12:$C$81</c15:sqref>
                        </c15:formulaRef>
                      </c:ext>
                    </c:extLst>
                    <c:numCache>
                      <c:formatCode>General</c:formatCode>
                      <c:ptCount val="70"/>
                      <c:pt idx="0">
                        <c:v>3</c:v>
                      </c:pt>
                      <c:pt idx="1">
                        <c:v>5</c:v>
                      </c:pt>
                      <c:pt idx="2">
                        <c:v>1</c:v>
                      </c:pt>
                      <c:pt idx="3">
                        <c:v>4</c:v>
                      </c:pt>
                      <c:pt idx="4">
                        <c:v>1</c:v>
                      </c:pt>
                      <c:pt idx="5">
                        <c:v>1</c:v>
                      </c:pt>
                      <c:pt idx="6">
                        <c:v>5</c:v>
                      </c:pt>
                      <c:pt idx="7">
                        <c:v>1</c:v>
                      </c:pt>
                      <c:pt idx="8">
                        <c:v>1</c:v>
                      </c:pt>
                      <c:pt idx="9">
                        <c:v>1</c:v>
                      </c:pt>
                      <c:pt idx="10">
                        <c:v>1</c:v>
                      </c:pt>
                      <c:pt idx="11">
                        <c:v>1</c:v>
                      </c:pt>
                      <c:pt idx="12">
                        <c:v>1</c:v>
                      </c:pt>
                      <c:pt idx="13">
                        <c:v>3</c:v>
                      </c:pt>
                      <c:pt idx="14">
                        <c:v>1</c:v>
                      </c:pt>
                      <c:pt idx="15">
                        <c:v>1</c:v>
                      </c:pt>
                      <c:pt idx="16">
                        <c:v>1</c:v>
                      </c:pt>
                      <c:pt idx="17">
                        <c:v>1</c:v>
                      </c:pt>
                      <c:pt idx="18">
                        <c:v>1</c:v>
                      </c:pt>
                      <c:pt idx="19">
                        <c:v>1</c:v>
                      </c:pt>
                      <c:pt idx="20">
                        <c:v>1</c:v>
                      </c:pt>
                      <c:pt idx="21">
                        <c:v>1</c:v>
                      </c:pt>
                      <c:pt idx="22">
                        <c:v>1</c:v>
                      </c:pt>
                      <c:pt idx="23">
                        <c:v>1</c:v>
                      </c:pt>
                      <c:pt idx="24">
                        <c:v>2</c:v>
                      </c:pt>
                      <c:pt idx="25">
                        <c:v>1</c:v>
                      </c:pt>
                      <c:pt idx="26">
                        <c:v>1</c:v>
                      </c:pt>
                      <c:pt idx="27">
                        <c:v>2</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2</c:v>
                      </c:pt>
                      <c:pt idx="46">
                        <c:v>1</c:v>
                      </c:pt>
                      <c:pt idx="47">
                        <c:v>1</c:v>
                      </c:pt>
                      <c:pt idx="48">
                        <c:v>2</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numCache>
                  </c:numRef>
                </c:val>
                <c:extLst>
                  <c:ext xmlns:c16="http://schemas.microsoft.com/office/drawing/2014/chart" uri="{C3380CC4-5D6E-409C-BE32-E72D297353CC}">
                    <c16:uniqueId val="{00000001-EEA4-4F55-9A02-C08182DAE0EB}"/>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'EDA-2'!$E$11</c15:sqref>
                        </c15:formulaRef>
                      </c:ext>
                    </c:extLst>
                    <c:strCache>
                      <c:ptCount val="1"/>
                      <c:pt idx="0">
                        <c:v>total_spent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'EDA-2'!$B$12:$B$81</c15:sqref>
                        </c15:formulaRef>
                      </c:ext>
                    </c:extLst>
                    <c:strCache>
                      <c:ptCount val="70"/>
                      <c:pt idx="0">
                        <c:v>Rio de Janeiro</c:v>
                      </c:pt>
                      <c:pt idx="1">
                        <c:v>London</c:v>
                      </c:pt>
                      <c:pt idx="2">
                        <c:v>Boise</c:v>
                      </c:pt>
                      <c:pt idx="3">
                        <c:v>São Paulo</c:v>
                      </c:pt>
                      <c:pt idx="4">
                        <c:v>Graz</c:v>
                      </c:pt>
                      <c:pt idx="5">
                        <c:v>Cunewalde</c:v>
                      </c:pt>
                      <c:pt idx="6">
                        <c:v>México D.F.</c:v>
                      </c:pt>
                      <c:pt idx="7">
                        <c:v>Cork</c:v>
                      </c:pt>
                      <c:pt idx="8">
                        <c:v>Bräcke</c:v>
                      </c:pt>
                      <c:pt idx="9">
                        <c:v>Albuquerque</c:v>
                      </c:pt>
                      <c:pt idx="10">
                        <c:v>Luleå</c:v>
                      </c:pt>
                      <c:pt idx="11">
                        <c:v>San Cristóbal</c:v>
                      </c:pt>
                      <c:pt idx="12">
                        <c:v>Marseille</c:v>
                      </c:pt>
                      <c:pt idx="13">
                        <c:v>Buenos Aires</c:v>
                      </c:pt>
                      <c:pt idx="14">
                        <c:v>München</c:v>
                      </c:pt>
                      <c:pt idx="15">
                        <c:v>Frankfurt a.M. </c:v>
                      </c:pt>
                      <c:pt idx="16">
                        <c:v>Oulu</c:v>
                      </c:pt>
                      <c:pt idx="17">
                        <c:v>Brandenburg</c:v>
                      </c:pt>
                      <c:pt idx="18">
                        <c:v>Seattle</c:v>
                      </c:pt>
                      <c:pt idx="19">
                        <c:v>Tsawassen</c:v>
                      </c:pt>
                      <c:pt idx="20">
                        <c:v>Barquisimeto</c:v>
                      </c:pt>
                      <c:pt idx="21">
                        <c:v>Toulouse</c:v>
                      </c:pt>
                      <c:pt idx="22">
                        <c:v>Montréal</c:v>
                      </c:pt>
                      <c:pt idx="23">
                        <c:v>Colchester</c:v>
                      </c:pt>
                      <c:pt idx="24">
                        <c:v>Lisboa</c:v>
                      </c:pt>
                      <c:pt idx="25">
                        <c:v>Charleroi</c:v>
                      </c:pt>
                      <c:pt idx="26">
                        <c:v>I. de Margarita</c:v>
                      </c:pt>
                      <c:pt idx="27">
                        <c:v>Portland</c:v>
                      </c:pt>
                      <c:pt idx="28">
                        <c:v>Reggio Emilia</c:v>
                      </c:pt>
                      <c:pt idx="29">
                        <c:v>Eugene</c:v>
                      </c:pt>
                      <c:pt idx="30">
                        <c:v>Strasbourg</c:v>
                      </c:pt>
                      <c:pt idx="31">
                        <c:v>Århus</c:v>
                      </c:pt>
                      <c:pt idx="32">
                        <c:v>Salzburg</c:v>
                      </c:pt>
                      <c:pt idx="33">
                        <c:v>Genève</c:v>
                      </c:pt>
                      <c:pt idx="34">
                        <c:v>Anchorage</c:v>
                      </c:pt>
                      <c:pt idx="35">
                        <c:v>Köln</c:v>
                      </c:pt>
                      <c:pt idx="36">
                        <c:v>Sevilla</c:v>
                      </c:pt>
                      <c:pt idx="37">
                        <c:v>Stuttgart</c:v>
                      </c:pt>
                      <c:pt idx="38">
                        <c:v>Lyon</c:v>
                      </c:pt>
                      <c:pt idx="39">
                        <c:v>Bergamo</c:v>
                      </c:pt>
                      <c:pt idx="40">
                        <c:v>Cowes</c:v>
                      </c:pt>
                      <c:pt idx="41">
                        <c:v>Lander</c:v>
                      </c:pt>
                      <c:pt idx="42">
                        <c:v>Campinas</c:v>
                      </c:pt>
                      <c:pt idx="43">
                        <c:v>Resende</c:v>
                      </c:pt>
                      <c:pt idx="44">
                        <c:v>Bern</c:v>
                      </c:pt>
                      <c:pt idx="45">
                        <c:v>Madrid</c:v>
                      </c:pt>
                      <c:pt idx="46">
                        <c:v>København</c:v>
                      </c:pt>
                      <c:pt idx="47">
                        <c:v>Bruxelles</c:v>
                      </c:pt>
                      <c:pt idx="48">
                        <c:v>Nantes</c:v>
                      </c:pt>
                      <c:pt idx="49">
                        <c:v>Warszawa</c:v>
                      </c:pt>
                      <c:pt idx="50">
                        <c:v>Mannheim</c:v>
                      </c:pt>
                      <c:pt idx="51">
                        <c:v>Helsinki</c:v>
                      </c:pt>
                      <c:pt idx="52">
                        <c:v>Stavern</c:v>
                      </c:pt>
                      <c:pt idx="53">
                        <c:v>Münster</c:v>
                      </c:pt>
                      <c:pt idx="54">
                        <c:v>Berlin</c:v>
                      </c:pt>
                      <c:pt idx="55">
                        <c:v>Aachen</c:v>
                      </c:pt>
                      <c:pt idx="56">
                        <c:v>Torino</c:v>
                      </c:pt>
                      <c:pt idx="57">
                        <c:v>Lille</c:v>
                      </c:pt>
                      <c:pt idx="58">
                        <c:v>Leipzig</c:v>
                      </c:pt>
                      <c:pt idx="59">
                        <c:v>Elgin</c:v>
                      </c:pt>
                      <c:pt idx="60">
                        <c:v>Reims</c:v>
                      </c:pt>
                      <c:pt idx="61">
                        <c:v>Barcelona</c:v>
                      </c:pt>
                      <c:pt idx="62">
                        <c:v>San Francisco</c:v>
                      </c:pt>
                      <c:pt idx="63">
                        <c:v>Paris</c:v>
                      </c:pt>
                      <c:pt idx="64">
                        <c:v>Versailles</c:v>
                      </c:pt>
                      <c:pt idx="65">
                        <c:v>Butte</c:v>
                      </c:pt>
                      <c:pt idx="66">
                        <c:v>Kirkland</c:v>
                      </c:pt>
                      <c:pt idx="67">
                        <c:v>Vancouver</c:v>
                      </c:pt>
                      <c:pt idx="68">
                        <c:v>Caracas</c:v>
                      </c:pt>
                      <c:pt idx="69">
                        <c:v>Walla Walla</c:v>
                      </c:pt>
                    </c:strCache>
                  </c:strRef>
                </c:cat>
                <c:val>
                  <c:numRef>
                    <c:extLst xmlns:c15="http://schemas.microsoft.com/office/drawing/2012/chart">
                      <c:ext xmlns:c15="http://schemas.microsoft.com/office/drawing/2012/chart" uri="{02D57815-91ED-43cb-92C2-25804820EDAC}">
                        <c15:formulaRef>
                          <c15:sqref>'EDA-2'!$E$12:$E$81</c15:sqref>
                        </c15:formulaRef>
                      </c:ext>
                    </c:extLst>
                    <c:numCache>
                      <c:formatCode>0.00</c:formatCode>
                      <c:ptCount val="70"/>
                      <c:pt idx="0">
                        <c:v>53999.18</c:v>
                      </c:pt>
                      <c:pt idx="1">
                        <c:v>40663.71</c:v>
                      </c:pt>
                      <c:pt idx="2">
                        <c:v>115673.39</c:v>
                      </c:pt>
                      <c:pt idx="3">
                        <c:v>45786.37</c:v>
                      </c:pt>
                      <c:pt idx="4">
                        <c:v>113236.68</c:v>
                      </c:pt>
                      <c:pt idx="5">
                        <c:v>117483.39</c:v>
                      </c:pt>
                      <c:pt idx="6">
                        <c:v>24073.45</c:v>
                      </c:pt>
                      <c:pt idx="7">
                        <c:v>57317.39</c:v>
                      </c:pt>
                      <c:pt idx="8">
                        <c:v>32555.55</c:v>
                      </c:pt>
                      <c:pt idx="9">
                        <c:v>52245.9</c:v>
                      </c:pt>
                      <c:pt idx="10">
                        <c:v>26968.15</c:v>
                      </c:pt>
                      <c:pt idx="11">
                        <c:v>23611.58</c:v>
                      </c:pt>
                      <c:pt idx="12">
                        <c:v>23850.95</c:v>
                      </c:pt>
                      <c:pt idx="13">
                        <c:v>8119.1</c:v>
                      </c:pt>
                      <c:pt idx="14">
                        <c:v>28722.71</c:v>
                      </c:pt>
                      <c:pt idx="15">
                        <c:v>21282.02</c:v>
                      </c:pt>
                      <c:pt idx="16">
                        <c:v>16617.099999999999</c:v>
                      </c:pt>
                      <c:pt idx="17">
                        <c:v>31745.75</c:v>
                      </c:pt>
                      <c:pt idx="18">
                        <c:v>29073.45</c:v>
                      </c:pt>
                      <c:pt idx="19">
                        <c:v>22607.7</c:v>
                      </c:pt>
                      <c:pt idx="20">
                        <c:v>17825.060000000001</c:v>
                      </c:pt>
                      <c:pt idx="21">
                        <c:v>10272.35</c:v>
                      </c:pt>
                      <c:pt idx="22">
                        <c:v>32203.9</c:v>
                      </c:pt>
                      <c:pt idx="23">
                        <c:v>13806.5</c:v>
                      </c:pt>
                      <c:pt idx="24">
                        <c:v>12468.65</c:v>
                      </c:pt>
                      <c:pt idx="25">
                        <c:v>24704.400000000001</c:v>
                      </c:pt>
                      <c:pt idx="26">
                        <c:v>17889.55</c:v>
                      </c:pt>
                      <c:pt idx="27">
                        <c:v>7619.6</c:v>
                      </c:pt>
                      <c:pt idx="28">
                        <c:v>7555.6</c:v>
                      </c:pt>
                      <c:pt idx="29">
                        <c:v>19711.13</c:v>
                      </c:pt>
                      <c:pt idx="30">
                        <c:v>19088</c:v>
                      </c:pt>
                      <c:pt idx="31">
                        <c:v>16643.8</c:v>
                      </c:pt>
                      <c:pt idx="32">
                        <c:v>26259.95</c:v>
                      </c:pt>
                      <c:pt idx="33">
                        <c:v>20033.2</c:v>
                      </c:pt>
                      <c:pt idx="34">
                        <c:v>16325.15</c:v>
                      </c:pt>
                      <c:pt idx="35">
                        <c:v>13157.5</c:v>
                      </c:pt>
                      <c:pt idx="36">
                        <c:v>11830.1</c:v>
                      </c:pt>
                      <c:pt idx="37">
                        <c:v>10653.85</c:v>
                      </c:pt>
                      <c:pt idx="38">
                        <c:v>9937.1</c:v>
                      </c:pt>
                      <c:pt idx="39">
                        <c:v>7603.85</c:v>
                      </c:pt>
                      <c:pt idx="40">
                        <c:v>6146.3</c:v>
                      </c:pt>
                      <c:pt idx="41">
                        <c:v>12489.7</c:v>
                      </c:pt>
                      <c:pt idx="42">
                        <c:v>8702.23</c:v>
                      </c:pt>
                      <c:pt idx="43">
                        <c:v>6480.7</c:v>
                      </c:pt>
                      <c:pt idx="44">
                        <c:v>12886.3</c:v>
                      </c:pt>
                      <c:pt idx="45">
                        <c:v>6765.09</c:v>
                      </c:pt>
                      <c:pt idx="46">
                        <c:v>18138.45</c:v>
                      </c:pt>
                      <c:pt idx="47">
                        <c:v>10430.58</c:v>
                      </c:pt>
                      <c:pt idx="48">
                        <c:v>4788.0600000000004</c:v>
                      </c:pt>
                      <c:pt idx="49">
                        <c:v>3531.95</c:v>
                      </c:pt>
                      <c:pt idx="50">
                        <c:v>3239.8</c:v>
                      </c:pt>
                      <c:pt idx="51">
                        <c:v>3161.35</c:v>
                      </c:pt>
                      <c:pt idx="52">
                        <c:v>5735.15</c:v>
                      </c:pt>
                      <c:pt idx="53">
                        <c:v>4954</c:v>
                      </c:pt>
                      <c:pt idx="54">
                        <c:v>4596.2</c:v>
                      </c:pt>
                      <c:pt idx="55">
                        <c:v>3763.21</c:v>
                      </c:pt>
                      <c:pt idx="56">
                        <c:v>1545.7</c:v>
                      </c:pt>
                      <c:pt idx="57">
                        <c:v>11666.9</c:v>
                      </c:pt>
                      <c:pt idx="58">
                        <c:v>5042.2</c:v>
                      </c:pt>
                      <c:pt idx="59">
                        <c:v>3063.2</c:v>
                      </c:pt>
                      <c:pt idx="60">
                        <c:v>1480</c:v>
                      </c:pt>
                      <c:pt idx="61">
                        <c:v>836.7</c:v>
                      </c:pt>
                      <c:pt idx="62">
                        <c:v>3490.02</c:v>
                      </c:pt>
                      <c:pt idx="63">
                        <c:v>2423.35</c:v>
                      </c:pt>
                      <c:pt idx="64">
                        <c:v>1992.05</c:v>
                      </c:pt>
                      <c:pt idx="65">
                        <c:v>1947.24</c:v>
                      </c:pt>
                      <c:pt idx="66">
                        <c:v>1571.2</c:v>
                      </c:pt>
                      <c:pt idx="67">
                        <c:v>522.5</c:v>
                      </c:pt>
                      <c:pt idx="68">
                        <c:v>1488.7</c:v>
                      </c:pt>
                      <c:pt idx="69">
                        <c:v>357</c:v>
                      </c:pt>
                    </c:numCache>
                  </c:numRef>
                </c:val>
                <c:extLst xmlns:c15="http://schemas.microsoft.com/office/drawing/2012/chart">
                  <c:ext xmlns:c16="http://schemas.microsoft.com/office/drawing/2014/chart" uri="{C3380CC4-5D6E-409C-BE32-E72D297353CC}">
                    <c16:uniqueId val="{00000002-EEA4-4F55-9A02-C08182DAE0EB}"/>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'EDA-2'!$F$11</c15:sqref>
                        </c15:formulaRef>
                      </c:ext>
                    </c:extLst>
                    <c:strCache>
                      <c:ptCount val="1"/>
                      <c:pt idx="0">
                        <c:v>avg_order_value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'EDA-2'!$B$12:$B$81</c15:sqref>
                        </c15:formulaRef>
                      </c:ext>
                    </c:extLst>
                    <c:strCache>
                      <c:ptCount val="70"/>
                      <c:pt idx="0">
                        <c:v>Rio de Janeiro</c:v>
                      </c:pt>
                      <c:pt idx="1">
                        <c:v>London</c:v>
                      </c:pt>
                      <c:pt idx="2">
                        <c:v>Boise</c:v>
                      </c:pt>
                      <c:pt idx="3">
                        <c:v>São Paulo</c:v>
                      </c:pt>
                      <c:pt idx="4">
                        <c:v>Graz</c:v>
                      </c:pt>
                      <c:pt idx="5">
                        <c:v>Cunewalde</c:v>
                      </c:pt>
                      <c:pt idx="6">
                        <c:v>México D.F.</c:v>
                      </c:pt>
                      <c:pt idx="7">
                        <c:v>Cork</c:v>
                      </c:pt>
                      <c:pt idx="8">
                        <c:v>Bräcke</c:v>
                      </c:pt>
                      <c:pt idx="9">
                        <c:v>Albuquerque</c:v>
                      </c:pt>
                      <c:pt idx="10">
                        <c:v>Luleå</c:v>
                      </c:pt>
                      <c:pt idx="11">
                        <c:v>San Cristóbal</c:v>
                      </c:pt>
                      <c:pt idx="12">
                        <c:v>Marseille</c:v>
                      </c:pt>
                      <c:pt idx="13">
                        <c:v>Buenos Aires</c:v>
                      </c:pt>
                      <c:pt idx="14">
                        <c:v>München</c:v>
                      </c:pt>
                      <c:pt idx="15">
                        <c:v>Frankfurt a.M. </c:v>
                      </c:pt>
                      <c:pt idx="16">
                        <c:v>Oulu</c:v>
                      </c:pt>
                      <c:pt idx="17">
                        <c:v>Brandenburg</c:v>
                      </c:pt>
                      <c:pt idx="18">
                        <c:v>Seattle</c:v>
                      </c:pt>
                      <c:pt idx="19">
                        <c:v>Tsawassen</c:v>
                      </c:pt>
                      <c:pt idx="20">
                        <c:v>Barquisimeto</c:v>
                      </c:pt>
                      <c:pt idx="21">
                        <c:v>Toulouse</c:v>
                      </c:pt>
                      <c:pt idx="22">
                        <c:v>Montréal</c:v>
                      </c:pt>
                      <c:pt idx="23">
                        <c:v>Colchester</c:v>
                      </c:pt>
                      <c:pt idx="24">
                        <c:v>Lisboa</c:v>
                      </c:pt>
                      <c:pt idx="25">
                        <c:v>Charleroi</c:v>
                      </c:pt>
                      <c:pt idx="26">
                        <c:v>I. de Margarita</c:v>
                      </c:pt>
                      <c:pt idx="27">
                        <c:v>Portland</c:v>
                      </c:pt>
                      <c:pt idx="28">
                        <c:v>Reggio Emilia</c:v>
                      </c:pt>
                      <c:pt idx="29">
                        <c:v>Eugene</c:v>
                      </c:pt>
                      <c:pt idx="30">
                        <c:v>Strasbourg</c:v>
                      </c:pt>
                      <c:pt idx="31">
                        <c:v>Århus</c:v>
                      </c:pt>
                      <c:pt idx="32">
                        <c:v>Salzburg</c:v>
                      </c:pt>
                      <c:pt idx="33">
                        <c:v>Genève</c:v>
                      </c:pt>
                      <c:pt idx="34">
                        <c:v>Anchorage</c:v>
                      </c:pt>
                      <c:pt idx="35">
                        <c:v>Köln</c:v>
                      </c:pt>
                      <c:pt idx="36">
                        <c:v>Sevilla</c:v>
                      </c:pt>
                      <c:pt idx="37">
                        <c:v>Stuttgart</c:v>
                      </c:pt>
                      <c:pt idx="38">
                        <c:v>Lyon</c:v>
                      </c:pt>
                      <c:pt idx="39">
                        <c:v>Bergamo</c:v>
                      </c:pt>
                      <c:pt idx="40">
                        <c:v>Cowes</c:v>
                      </c:pt>
                      <c:pt idx="41">
                        <c:v>Lander</c:v>
                      </c:pt>
                      <c:pt idx="42">
                        <c:v>Campinas</c:v>
                      </c:pt>
                      <c:pt idx="43">
                        <c:v>Resende</c:v>
                      </c:pt>
                      <c:pt idx="44">
                        <c:v>Bern</c:v>
                      </c:pt>
                      <c:pt idx="45">
                        <c:v>Madrid</c:v>
                      </c:pt>
                      <c:pt idx="46">
                        <c:v>København</c:v>
                      </c:pt>
                      <c:pt idx="47">
                        <c:v>Bruxelles</c:v>
                      </c:pt>
                      <c:pt idx="48">
                        <c:v>Nantes</c:v>
                      </c:pt>
                      <c:pt idx="49">
                        <c:v>Warszawa</c:v>
                      </c:pt>
                      <c:pt idx="50">
                        <c:v>Mannheim</c:v>
                      </c:pt>
                      <c:pt idx="51">
                        <c:v>Helsinki</c:v>
                      </c:pt>
                      <c:pt idx="52">
                        <c:v>Stavern</c:v>
                      </c:pt>
                      <c:pt idx="53">
                        <c:v>Münster</c:v>
                      </c:pt>
                      <c:pt idx="54">
                        <c:v>Berlin</c:v>
                      </c:pt>
                      <c:pt idx="55">
                        <c:v>Aachen</c:v>
                      </c:pt>
                      <c:pt idx="56">
                        <c:v>Torino</c:v>
                      </c:pt>
                      <c:pt idx="57">
                        <c:v>Lille</c:v>
                      </c:pt>
                      <c:pt idx="58">
                        <c:v>Leipzig</c:v>
                      </c:pt>
                      <c:pt idx="59">
                        <c:v>Elgin</c:v>
                      </c:pt>
                      <c:pt idx="60">
                        <c:v>Reims</c:v>
                      </c:pt>
                      <c:pt idx="61">
                        <c:v>Barcelona</c:v>
                      </c:pt>
                      <c:pt idx="62">
                        <c:v>San Francisco</c:v>
                      </c:pt>
                      <c:pt idx="63">
                        <c:v>Paris</c:v>
                      </c:pt>
                      <c:pt idx="64">
                        <c:v>Versailles</c:v>
                      </c:pt>
                      <c:pt idx="65">
                        <c:v>Butte</c:v>
                      </c:pt>
                      <c:pt idx="66">
                        <c:v>Kirkland</c:v>
                      </c:pt>
                      <c:pt idx="67">
                        <c:v>Vancouver</c:v>
                      </c:pt>
                      <c:pt idx="68">
                        <c:v>Caracas</c:v>
                      </c:pt>
                      <c:pt idx="69">
                        <c:v>Walla Walla</c:v>
                      </c:pt>
                    </c:strCache>
                  </c:strRef>
                </c:cat>
                <c:val>
                  <c:numRef>
                    <c:extLst xmlns:c15="http://schemas.microsoft.com/office/drawing/2012/chart">
                      <c:ext xmlns:c15="http://schemas.microsoft.com/office/drawing/2012/chart" uri="{02D57815-91ED-43cb-92C2-25804820EDAC}">
                        <c15:formulaRef>
                          <c15:sqref>'EDA-2'!$F$12:$F$81</c15:sqref>
                        </c15:formulaRef>
                      </c:ext>
                    </c:extLst>
                    <c:numCache>
                      <c:formatCode>0.00</c:formatCode>
                      <c:ptCount val="70"/>
                      <c:pt idx="0">
                        <c:v>1588.2111764700001</c:v>
                      </c:pt>
                      <c:pt idx="1">
                        <c:v>1232.23363636</c:v>
                      </c:pt>
                      <c:pt idx="2">
                        <c:v>3731.39967742</c:v>
                      </c:pt>
                      <c:pt idx="3">
                        <c:v>1476.9796774199999</c:v>
                      </c:pt>
                      <c:pt idx="4">
                        <c:v>3774.556</c:v>
                      </c:pt>
                      <c:pt idx="5">
                        <c:v>4195.8353571400003</c:v>
                      </c:pt>
                      <c:pt idx="6">
                        <c:v>859.76607143000001</c:v>
                      </c:pt>
                      <c:pt idx="7">
                        <c:v>3016.7047368399999</c:v>
                      </c:pt>
                      <c:pt idx="8">
                        <c:v>1713.45</c:v>
                      </c:pt>
                      <c:pt idx="9">
                        <c:v>2902.55</c:v>
                      </c:pt>
                      <c:pt idx="10">
                        <c:v>1498.2305555600001</c:v>
                      </c:pt>
                      <c:pt idx="11">
                        <c:v>1311.75444444</c:v>
                      </c:pt>
                      <c:pt idx="12">
                        <c:v>1402.9970588199999</c:v>
                      </c:pt>
                      <c:pt idx="13">
                        <c:v>507.44375000000002</c:v>
                      </c:pt>
                      <c:pt idx="14">
                        <c:v>1914.8473333300001</c:v>
                      </c:pt>
                      <c:pt idx="15">
                        <c:v>1418.80133333</c:v>
                      </c:pt>
                      <c:pt idx="16">
                        <c:v>1107.8066666699999</c:v>
                      </c:pt>
                      <c:pt idx="17">
                        <c:v>2267.5535714299999</c:v>
                      </c:pt>
                      <c:pt idx="18">
                        <c:v>2076.6750000000002</c:v>
                      </c:pt>
                      <c:pt idx="19">
                        <c:v>1614.8357142899999</c:v>
                      </c:pt>
                      <c:pt idx="20">
                        <c:v>1273.2185714300001</c:v>
                      </c:pt>
                      <c:pt idx="21">
                        <c:v>733.73928570999999</c:v>
                      </c:pt>
                      <c:pt idx="22">
                        <c:v>2477.22307692</c:v>
                      </c:pt>
                      <c:pt idx="23">
                        <c:v>1062.0384615400001</c:v>
                      </c:pt>
                      <c:pt idx="24">
                        <c:v>959.12692307999998</c:v>
                      </c:pt>
                      <c:pt idx="25">
                        <c:v>2058.6999999999998</c:v>
                      </c:pt>
                      <c:pt idx="26">
                        <c:v>1490.7958333300001</c:v>
                      </c:pt>
                      <c:pt idx="27">
                        <c:v>634.96666667</c:v>
                      </c:pt>
                      <c:pt idx="28">
                        <c:v>629.63333333000003</c:v>
                      </c:pt>
                      <c:pt idx="29">
                        <c:v>1791.9209090899999</c:v>
                      </c:pt>
                      <c:pt idx="30">
                        <c:v>1735.2727272699999</c:v>
                      </c:pt>
                      <c:pt idx="31">
                        <c:v>1513.0727272700001</c:v>
                      </c:pt>
                      <c:pt idx="32">
                        <c:v>2625.9949999999999</c:v>
                      </c:pt>
                      <c:pt idx="33">
                        <c:v>2003.32</c:v>
                      </c:pt>
                      <c:pt idx="34">
                        <c:v>1632.5150000000001</c:v>
                      </c:pt>
                      <c:pt idx="35">
                        <c:v>1315.75</c:v>
                      </c:pt>
                      <c:pt idx="36">
                        <c:v>1183.01</c:v>
                      </c:pt>
                      <c:pt idx="37">
                        <c:v>1065.385</c:v>
                      </c:pt>
                      <c:pt idx="38">
                        <c:v>993.71</c:v>
                      </c:pt>
                      <c:pt idx="39">
                        <c:v>760.38499999999999</c:v>
                      </c:pt>
                      <c:pt idx="40">
                        <c:v>614.63</c:v>
                      </c:pt>
                      <c:pt idx="41">
                        <c:v>1387.7444444400001</c:v>
                      </c:pt>
                      <c:pt idx="42">
                        <c:v>966.91444444000001</c:v>
                      </c:pt>
                      <c:pt idx="43">
                        <c:v>720.07777778000002</c:v>
                      </c:pt>
                      <c:pt idx="44">
                        <c:v>1610.7874999999999</c:v>
                      </c:pt>
                      <c:pt idx="45">
                        <c:v>845.63625000000002</c:v>
                      </c:pt>
                      <c:pt idx="46">
                        <c:v>2591.2071428600002</c:v>
                      </c:pt>
                      <c:pt idx="47">
                        <c:v>1490.08285714</c:v>
                      </c:pt>
                      <c:pt idx="48">
                        <c:v>684.00857142999996</c:v>
                      </c:pt>
                      <c:pt idx="49">
                        <c:v>504.56428570999998</c:v>
                      </c:pt>
                      <c:pt idx="50">
                        <c:v>462.82857143000001</c:v>
                      </c:pt>
                      <c:pt idx="51">
                        <c:v>451.62142856999998</c:v>
                      </c:pt>
                      <c:pt idx="52">
                        <c:v>955.85833333000005</c:v>
                      </c:pt>
                      <c:pt idx="53">
                        <c:v>825.66666667000004</c:v>
                      </c:pt>
                      <c:pt idx="54">
                        <c:v>766.03333333</c:v>
                      </c:pt>
                      <c:pt idx="55">
                        <c:v>627.20166667000001</c:v>
                      </c:pt>
                      <c:pt idx="56">
                        <c:v>257.61666666999997</c:v>
                      </c:pt>
                      <c:pt idx="57">
                        <c:v>2333.38</c:v>
                      </c:pt>
                      <c:pt idx="58">
                        <c:v>1008.44</c:v>
                      </c:pt>
                      <c:pt idx="59">
                        <c:v>612.64</c:v>
                      </c:pt>
                      <c:pt idx="60">
                        <c:v>296</c:v>
                      </c:pt>
                      <c:pt idx="61">
                        <c:v>167.34</c:v>
                      </c:pt>
                      <c:pt idx="62">
                        <c:v>872.505</c:v>
                      </c:pt>
                      <c:pt idx="63">
                        <c:v>605.83749999999998</c:v>
                      </c:pt>
                      <c:pt idx="64">
                        <c:v>498.01249999999999</c:v>
                      </c:pt>
                      <c:pt idx="65">
                        <c:v>649.08000000000004</c:v>
                      </c:pt>
                      <c:pt idx="66">
                        <c:v>523.73333333000005</c:v>
                      </c:pt>
                      <c:pt idx="67">
                        <c:v>174.16666667000001</c:v>
                      </c:pt>
                      <c:pt idx="68">
                        <c:v>744.35</c:v>
                      </c:pt>
                      <c:pt idx="69">
                        <c:v>178.5</c:v>
                      </c:pt>
                    </c:numCache>
                  </c:numRef>
                </c:val>
                <c:extLst xmlns:c15="http://schemas.microsoft.com/office/drawing/2012/chart">
                  <c:ext xmlns:c16="http://schemas.microsoft.com/office/drawing/2014/chart" uri="{C3380CC4-5D6E-409C-BE32-E72D297353CC}">
                    <c16:uniqueId val="{00000003-EEA4-4F55-9A02-C08182DAE0EB}"/>
                  </c:ext>
                </c:extLst>
              </c15:ser>
            </c15:filteredBarSeries>
          </c:ext>
        </c:extLst>
      </c:barChart>
      <c:catAx>
        <c:axId val="115887727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58877759"/>
        <c:crosses val="autoZero"/>
        <c:auto val="1"/>
        <c:lblAlgn val="ctr"/>
        <c:lblOffset val="100"/>
        <c:noMultiLvlLbl val="0"/>
      </c:catAx>
      <c:valAx>
        <c:axId val="115887775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58877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Project.xlsx]EDA-12!PivotTable5</c:name>
    <c:fmtId val="-1"/>
  </c:pivotSource>
  <c:chart>
    <c:autoTitleDeleted val="1"/>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'EDA-12'!$J$30</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multiLvlStrRef>
              <c:f>'EDA-12'!$I$31:$I$56</c:f>
              <c:multiLvlStrCache>
                <c:ptCount val="23"/>
                <c:lvl>
                  <c:pt idx="0">
                    <c:v>Aug</c:v>
                  </c:pt>
                  <c:pt idx="1">
                    <c:v>Sep</c:v>
                  </c:pt>
                  <c:pt idx="2">
                    <c:v>Oct</c:v>
                  </c:pt>
                  <c:pt idx="3">
                    <c:v>Nov</c:v>
                  </c:pt>
                  <c:pt idx="4">
                    <c:v>Dec</c:v>
                  </c:pt>
                  <c:pt idx="5">
                    <c:v>Jan</c:v>
                  </c:pt>
                  <c:pt idx="6">
                    <c:v>Feb</c:v>
                  </c:pt>
                  <c:pt idx="7">
                    <c:v>Mar</c:v>
                  </c:pt>
                  <c:pt idx="8">
                    <c:v>Apr</c:v>
                  </c:pt>
                  <c:pt idx="9">
                    <c:v>May</c:v>
                  </c:pt>
                  <c:pt idx="10">
                    <c:v>Jun</c:v>
                  </c:pt>
                  <c:pt idx="11">
                    <c:v>Jul</c:v>
                  </c:pt>
                  <c:pt idx="12">
                    <c:v>Aug</c:v>
                  </c:pt>
                  <c:pt idx="13">
                    <c:v>Sep</c:v>
                  </c:pt>
                  <c:pt idx="14">
                    <c:v>Oct</c:v>
                  </c:pt>
                  <c:pt idx="15">
                    <c:v>Nov</c:v>
                  </c:pt>
                  <c:pt idx="16">
                    <c:v>Dec</c:v>
                  </c:pt>
                  <c:pt idx="17">
                    <c:v>Jan</c:v>
                  </c:pt>
                  <c:pt idx="18">
                    <c:v>Feb</c:v>
                  </c:pt>
                  <c:pt idx="19">
                    <c:v>Mar</c:v>
                  </c:pt>
                  <c:pt idx="20">
                    <c:v>Apr</c:v>
                  </c:pt>
                  <c:pt idx="21">
                    <c:v>May</c:v>
                  </c:pt>
                  <c:pt idx="22">
                    <c:v>Jun</c:v>
                  </c:pt>
                </c:lvl>
                <c:lvl>
                  <c:pt idx="0">
                    <c:v>1994</c:v>
                  </c:pt>
                  <c:pt idx="5">
                    <c:v>1995</c:v>
                  </c:pt>
                  <c:pt idx="17">
                    <c:v>1996</c:v>
                  </c:pt>
                </c:lvl>
              </c:multiLvlStrCache>
            </c:multiLvlStrRef>
          </c:cat>
          <c:val>
            <c:numRef>
              <c:f>'EDA-12'!$J$31:$J$56</c:f>
              <c:numCache>
                <c:formatCode>0.00</c:formatCode>
                <c:ptCount val="23"/>
                <c:pt idx="0">
                  <c:v>1142564.6399999999</c:v>
                </c:pt>
                <c:pt idx="1">
                  <c:v>1387415.89</c:v>
                </c:pt>
                <c:pt idx="2">
                  <c:v>1329183.6399999997</c:v>
                </c:pt>
                <c:pt idx="3">
                  <c:v>1431169.3700000003</c:v>
                </c:pt>
                <c:pt idx="4">
                  <c:v>1641896.4500000002</c:v>
                </c:pt>
                <c:pt idx="5">
                  <c:v>1797383.2899999998</c:v>
                </c:pt>
                <c:pt idx="6">
                  <c:v>1644562.2399999993</c:v>
                </c:pt>
                <c:pt idx="7">
                  <c:v>1684181.6400000004</c:v>
                </c:pt>
                <c:pt idx="8">
                  <c:v>1561141.39</c:v>
                </c:pt>
                <c:pt idx="9">
                  <c:v>1696643.99</c:v>
                </c:pt>
                <c:pt idx="10">
                  <c:v>1925128.0700000003</c:v>
                </c:pt>
                <c:pt idx="11">
                  <c:v>1592695.14</c:v>
                </c:pt>
                <c:pt idx="12">
                  <c:v>1662963.95</c:v>
                </c:pt>
                <c:pt idx="13">
                  <c:v>1555348.54</c:v>
                </c:pt>
                <c:pt idx="14">
                  <c:v>1905563.1400000001</c:v>
                </c:pt>
                <c:pt idx="15">
                  <c:v>2113481.4899999998</c:v>
                </c:pt>
                <c:pt idx="16">
                  <c:v>1925806.4699999997</c:v>
                </c:pt>
                <c:pt idx="17">
                  <c:v>2693237.8299999991</c:v>
                </c:pt>
                <c:pt idx="18">
                  <c:v>3373505.3399999994</c:v>
                </c:pt>
                <c:pt idx="19">
                  <c:v>2567477.3100000005</c:v>
                </c:pt>
                <c:pt idx="20">
                  <c:v>3456662.0799999968</c:v>
                </c:pt>
                <c:pt idx="21">
                  <c:v>4058141.8299999987</c:v>
                </c:pt>
                <c:pt idx="22">
                  <c:v>665113.79999999981</c:v>
                </c:pt>
              </c:numCache>
            </c:numRef>
          </c:val>
          <c:smooth val="0"/>
          <c:extLst>
            <c:ext xmlns:c16="http://schemas.microsoft.com/office/drawing/2014/chart" uri="{C3380CC4-5D6E-409C-BE32-E72D297353CC}">
              <c16:uniqueId val="{00000000-6DEA-4147-A3BB-CEAFCB85A774}"/>
            </c:ext>
          </c:extLst>
        </c:ser>
        <c:dLbls>
          <c:showLegendKey val="0"/>
          <c:showVal val="0"/>
          <c:showCatName val="0"/>
          <c:showSerName val="0"/>
          <c:showPercent val="0"/>
          <c:showBubbleSize val="0"/>
        </c:dLbls>
        <c:marker val="1"/>
        <c:smooth val="0"/>
        <c:axId val="611190063"/>
        <c:axId val="611190543"/>
      </c:lineChart>
      <c:catAx>
        <c:axId val="61119006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1190543"/>
        <c:crosses val="autoZero"/>
        <c:auto val="1"/>
        <c:lblAlgn val="ctr"/>
        <c:lblOffset val="100"/>
        <c:noMultiLvlLbl val="0"/>
      </c:catAx>
      <c:valAx>
        <c:axId val="611190543"/>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119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Project.xlsx]EDA-12!PivotTable7</c:name>
    <c:fmtId val="-1"/>
  </c:pivotSource>
  <c:chart>
    <c:autoTitleDeleted val="1"/>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'EDA-12'!$J$59</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'EDA-12'!$I$60:$I$85</c:f>
              <c:multiLvlStrCache>
                <c:ptCount val="23"/>
                <c:lvl>
                  <c:pt idx="0">
                    <c:v>Aug</c:v>
                  </c:pt>
                  <c:pt idx="1">
                    <c:v>Sep</c:v>
                  </c:pt>
                  <c:pt idx="2">
                    <c:v>Oct</c:v>
                  </c:pt>
                  <c:pt idx="3">
                    <c:v>Nov</c:v>
                  </c:pt>
                  <c:pt idx="4">
                    <c:v>Dec</c:v>
                  </c:pt>
                  <c:pt idx="5">
                    <c:v>Jan</c:v>
                  </c:pt>
                  <c:pt idx="6">
                    <c:v>Feb</c:v>
                  </c:pt>
                  <c:pt idx="7">
                    <c:v>Mar</c:v>
                  </c:pt>
                  <c:pt idx="8">
                    <c:v>Apr</c:v>
                  </c:pt>
                  <c:pt idx="9">
                    <c:v>May</c:v>
                  </c:pt>
                  <c:pt idx="10">
                    <c:v>Jun</c:v>
                  </c:pt>
                  <c:pt idx="11">
                    <c:v>Jul</c:v>
                  </c:pt>
                  <c:pt idx="12">
                    <c:v>Aug</c:v>
                  </c:pt>
                  <c:pt idx="13">
                    <c:v>Sep</c:v>
                  </c:pt>
                  <c:pt idx="14">
                    <c:v>Oct</c:v>
                  </c:pt>
                  <c:pt idx="15">
                    <c:v>Nov</c:v>
                  </c:pt>
                  <c:pt idx="16">
                    <c:v>Dec</c:v>
                  </c:pt>
                  <c:pt idx="17">
                    <c:v>Jan</c:v>
                  </c:pt>
                  <c:pt idx="18">
                    <c:v>Feb</c:v>
                  </c:pt>
                  <c:pt idx="19">
                    <c:v>Mar</c:v>
                  </c:pt>
                  <c:pt idx="20">
                    <c:v>Apr</c:v>
                  </c:pt>
                  <c:pt idx="21">
                    <c:v>May</c:v>
                  </c:pt>
                  <c:pt idx="22">
                    <c:v>Jun</c:v>
                  </c:pt>
                </c:lvl>
                <c:lvl>
                  <c:pt idx="0">
                    <c:v>1994</c:v>
                  </c:pt>
                  <c:pt idx="5">
                    <c:v>1995</c:v>
                  </c:pt>
                  <c:pt idx="17">
                    <c:v>1996</c:v>
                  </c:pt>
                </c:lvl>
              </c:multiLvlStrCache>
            </c:multiLvlStrRef>
          </c:cat>
          <c:val>
            <c:numRef>
              <c:f>'EDA-12'!$J$60:$J$85</c:f>
              <c:numCache>
                <c:formatCode>General</c:formatCode>
                <c:ptCount val="23"/>
                <c:pt idx="0">
                  <c:v>59</c:v>
                </c:pt>
                <c:pt idx="1">
                  <c:v>69</c:v>
                </c:pt>
                <c:pt idx="2">
                  <c:v>57</c:v>
                </c:pt>
                <c:pt idx="3">
                  <c:v>70</c:v>
                </c:pt>
                <c:pt idx="4">
                  <c:v>69</c:v>
                </c:pt>
                <c:pt idx="5">
                  <c:v>81</c:v>
                </c:pt>
                <c:pt idx="6">
                  <c:v>74</c:v>
                </c:pt>
                <c:pt idx="7">
                  <c:v>90</c:v>
                </c:pt>
                <c:pt idx="8">
                  <c:v>72</c:v>
                </c:pt>
                <c:pt idx="9">
                  <c:v>86</c:v>
                </c:pt>
                <c:pt idx="10">
                  <c:v>96</c:v>
                </c:pt>
                <c:pt idx="11">
                  <c:v>76</c:v>
                </c:pt>
                <c:pt idx="12">
                  <c:v>77</c:v>
                </c:pt>
                <c:pt idx="13">
                  <c:v>84</c:v>
                </c:pt>
                <c:pt idx="14">
                  <c:v>95</c:v>
                </c:pt>
                <c:pt idx="15">
                  <c:v>103</c:v>
                </c:pt>
                <c:pt idx="16">
                  <c:v>92</c:v>
                </c:pt>
                <c:pt idx="17">
                  <c:v>114</c:v>
                </c:pt>
                <c:pt idx="18">
                  <c:v>145</c:v>
                </c:pt>
                <c:pt idx="19">
                  <c:v>129</c:v>
                </c:pt>
                <c:pt idx="20">
                  <c:v>178</c:v>
                </c:pt>
                <c:pt idx="21">
                  <c:v>190</c:v>
                </c:pt>
                <c:pt idx="22">
                  <c:v>49</c:v>
                </c:pt>
              </c:numCache>
            </c:numRef>
          </c:val>
          <c:smooth val="0"/>
          <c:extLst>
            <c:ext xmlns:c16="http://schemas.microsoft.com/office/drawing/2014/chart" uri="{C3380CC4-5D6E-409C-BE32-E72D297353CC}">
              <c16:uniqueId val="{00000000-A172-42CC-8E71-379CAC083AD7}"/>
            </c:ext>
          </c:extLst>
        </c:ser>
        <c:dLbls>
          <c:dLblPos val="t"/>
          <c:showLegendKey val="0"/>
          <c:showVal val="1"/>
          <c:showCatName val="0"/>
          <c:showSerName val="0"/>
          <c:showPercent val="0"/>
          <c:showBubbleSize val="0"/>
        </c:dLbls>
        <c:marker val="1"/>
        <c:smooth val="0"/>
        <c:axId val="431065967"/>
        <c:axId val="431066447"/>
      </c:lineChart>
      <c:catAx>
        <c:axId val="43106596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1066447"/>
        <c:crosses val="autoZero"/>
        <c:auto val="1"/>
        <c:lblAlgn val="ctr"/>
        <c:lblOffset val="100"/>
        <c:noMultiLvlLbl val="0"/>
      </c:catAx>
      <c:valAx>
        <c:axId val="43106644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10659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'EDA-13'!$D$4</c:f>
              <c:strCache>
                <c:ptCount val="1"/>
                <c:pt idx="0">
                  <c:v>AvgProductPrice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'EDA-13'!$B$5:$B$20</c:f>
              <c:strCache>
                <c:ptCount val="16"/>
                <c:pt idx="0">
                  <c:v>France</c:v>
                </c:pt>
                <c:pt idx="1">
                  <c:v>Germany</c:v>
                </c:pt>
                <c:pt idx="2">
                  <c:v>Australia</c:v>
                </c:pt>
                <c:pt idx="3">
                  <c:v>Japan</c:v>
                </c:pt>
                <c:pt idx="4">
                  <c:v>Spain</c:v>
                </c:pt>
                <c:pt idx="5">
                  <c:v>Italy</c:v>
                </c:pt>
                <c:pt idx="6">
                  <c:v>Canada</c:v>
                </c:pt>
                <c:pt idx="7">
                  <c:v>Singapore</c:v>
                </c:pt>
                <c:pt idx="8">
                  <c:v>UK</c:v>
                </c:pt>
                <c:pt idx="9">
                  <c:v>USA</c:v>
                </c:pt>
                <c:pt idx="10">
                  <c:v>Norway</c:v>
                </c:pt>
                <c:pt idx="11">
                  <c:v>Finland</c:v>
                </c:pt>
                <c:pt idx="12">
                  <c:v>Sweden </c:v>
                </c:pt>
                <c:pt idx="13">
                  <c:v>Netherlands</c:v>
                </c:pt>
                <c:pt idx="14">
                  <c:v>Denmark</c:v>
                </c:pt>
                <c:pt idx="15">
                  <c:v>Brazil</c:v>
                </c:pt>
              </c:strCache>
            </c:strRef>
          </c:cat>
          <c:val>
            <c:numRef>
              <c:f>'EDA-13'!$D$5:$D$20</c:f>
              <c:numCache>
                <c:formatCode>General</c:formatCode>
                <c:ptCount val="16"/>
                <c:pt idx="0">
                  <c:v>76.75</c:v>
                </c:pt>
                <c:pt idx="1">
                  <c:v>37.6</c:v>
                </c:pt>
                <c:pt idx="2">
                  <c:v>33.83</c:v>
                </c:pt>
                <c:pt idx="3">
                  <c:v>30.46</c:v>
                </c:pt>
                <c:pt idx="4">
                  <c:v>29.5</c:v>
                </c:pt>
                <c:pt idx="5">
                  <c:v>27.36</c:v>
                </c:pt>
                <c:pt idx="6">
                  <c:v>27.31</c:v>
                </c:pt>
                <c:pt idx="7">
                  <c:v>26.48</c:v>
                </c:pt>
                <c:pt idx="8">
                  <c:v>22.81</c:v>
                </c:pt>
                <c:pt idx="9">
                  <c:v>20.87</c:v>
                </c:pt>
                <c:pt idx="10">
                  <c:v>20</c:v>
                </c:pt>
                <c:pt idx="11">
                  <c:v>18.079999999999998</c:v>
                </c:pt>
                <c:pt idx="12">
                  <c:v>18</c:v>
                </c:pt>
                <c:pt idx="13">
                  <c:v>11.13</c:v>
                </c:pt>
                <c:pt idx="14">
                  <c:v>10.75</c:v>
                </c:pt>
                <c:pt idx="15">
                  <c:v>4.5</c:v>
                </c:pt>
              </c:numCache>
            </c:numRef>
          </c:val>
          <c:extLst>
            <c:ext xmlns:c16="http://schemas.microsoft.com/office/drawing/2014/chart" uri="{C3380CC4-5D6E-409C-BE32-E72D297353CC}">
              <c16:uniqueId val="{00000000-91FC-40EE-879B-78ECE30092DB}"/>
            </c:ext>
          </c:extLst>
        </c:ser>
        <c:dLbls>
          <c:showLegendKey val="0"/>
          <c:showVal val="0"/>
          <c:showCatName val="0"/>
          <c:showSerName val="0"/>
          <c:showPercent val="0"/>
          <c:showBubbleSize val="0"/>
        </c:dLbls>
        <c:gapWidth val="219"/>
        <c:axId val="59897775"/>
        <c:axId val="59896335"/>
      </c:barChart>
      <c:lineChart>
        <c:grouping val="standard"/>
        <c:varyColors val="0"/>
        <c:ser>
          <c:idx val="0"/>
          <c:order val="0"/>
          <c:tx>
            <c:strRef>
              <c:f>'EDA-13'!$C$4</c:f>
              <c:strCache>
                <c:ptCount val="1"/>
                <c:pt idx="0">
                  <c:v>NumSupplier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'EDA-13'!$B$5:$B$20</c:f>
              <c:strCache>
                <c:ptCount val="16"/>
                <c:pt idx="0">
                  <c:v>France</c:v>
                </c:pt>
                <c:pt idx="1">
                  <c:v>Germany</c:v>
                </c:pt>
                <c:pt idx="2">
                  <c:v>Australia</c:v>
                </c:pt>
                <c:pt idx="3">
                  <c:v>Japan</c:v>
                </c:pt>
                <c:pt idx="4">
                  <c:v>Spain</c:v>
                </c:pt>
                <c:pt idx="5">
                  <c:v>Italy</c:v>
                </c:pt>
                <c:pt idx="6">
                  <c:v>Canada</c:v>
                </c:pt>
                <c:pt idx="7">
                  <c:v>Singapore</c:v>
                </c:pt>
                <c:pt idx="8">
                  <c:v>UK</c:v>
                </c:pt>
                <c:pt idx="9">
                  <c:v>USA</c:v>
                </c:pt>
                <c:pt idx="10">
                  <c:v>Norway</c:v>
                </c:pt>
                <c:pt idx="11">
                  <c:v>Finland</c:v>
                </c:pt>
                <c:pt idx="12">
                  <c:v>Sweden </c:v>
                </c:pt>
                <c:pt idx="13">
                  <c:v>Netherlands</c:v>
                </c:pt>
                <c:pt idx="14">
                  <c:v>Denmark</c:v>
                </c:pt>
                <c:pt idx="15">
                  <c:v>Brazil</c:v>
                </c:pt>
              </c:strCache>
            </c:strRef>
          </c:cat>
          <c:val>
            <c:numRef>
              <c:f>'EDA-13'!$C$5:$C$20</c:f>
              <c:numCache>
                <c:formatCode>General</c:formatCode>
                <c:ptCount val="16"/>
                <c:pt idx="0">
                  <c:v>3</c:v>
                </c:pt>
                <c:pt idx="1">
                  <c:v>3</c:v>
                </c:pt>
                <c:pt idx="2">
                  <c:v>2</c:v>
                </c:pt>
                <c:pt idx="3">
                  <c:v>2</c:v>
                </c:pt>
                <c:pt idx="4">
                  <c:v>1</c:v>
                </c:pt>
                <c:pt idx="5">
                  <c:v>2</c:v>
                </c:pt>
                <c:pt idx="6">
                  <c:v>2</c:v>
                </c:pt>
                <c:pt idx="7">
                  <c:v>1</c:v>
                </c:pt>
                <c:pt idx="8">
                  <c:v>2</c:v>
                </c:pt>
                <c:pt idx="9">
                  <c:v>4</c:v>
                </c:pt>
                <c:pt idx="10">
                  <c:v>1</c:v>
                </c:pt>
                <c:pt idx="11">
                  <c:v>1</c:v>
                </c:pt>
                <c:pt idx="12">
                  <c:v>2</c:v>
                </c:pt>
                <c:pt idx="13">
                  <c:v>1</c:v>
                </c:pt>
                <c:pt idx="14">
                  <c:v>1</c:v>
                </c:pt>
                <c:pt idx="15">
                  <c:v>1</c:v>
                </c:pt>
              </c:numCache>
            </c:numRef>
          </c:val>
          <c:smooth val="0"/>
          <c:extLst>
            <c:ext xmlns:c16="http://schemas.microsoft.com/office/drawing/2014/chart" uri="{C3380CC4-5D6E-409C-BE32-E72D297353CC}">
              <c16:uniqueId val="{00000001-91FC-40EE-879B-78ECE30092DB}"/>
            </c:ext>
          </c:extLst>
        </c:ser>
        <c:dLbls>
          <c:showLegendKey val="0"/>
          <c:showVal val="0"/>
          <c:showCatName val="0"/>
          <c:showSerName val="0"/>
          <c:showPercent val="0"/>
          <c:showBubbleSize val="0"/>
        </c:dLbls>
        <c:marker val="1"/>
        <c:smooth val="0"/>
        <c:axId val="233580383"/>
        <c:axId val="233578943"/>
      </c:lineChart>
      <c:catAx>
        <c:axId val="5989777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9896335"/>
        <c:crosses val="autoZero"/>
        <c:auto val="1"/>
        <c:lblAlgn val="ctr"/>
        <c:lblOffset val="100"/>
        <c:noMultiLvlLbl val="0"/>
      </c:catAx>
      <c:valAx>
        <c:axId val="5989633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9897775"/>
        <c:crosses val="autoZero"/>
        <c:crossBetween val="between"/>
      </c:valAx>
      <c:valAx>
        <c:axId val="233578943"/>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3580383"/>
        <c:crosses val="max"/>
        <c:crossBetween val="between"/>
      </c:valAx>
      <c:catAx>
        <c:axId val="233580383"/>
        <c:scaling>
          <c:orientation val="minMax"/>
        </c:scaling>
        <c:delete val="1"/>
        <c:axPos val="b"/>
        <c:numFmt formatCode="General" sourceLinked="1"/>
        <c:majorTickMark val="none"/>
        <c:minorTickMark val="none"/>
        <c:tickLblPos val="nextTo"/>
        <c:crossAx val="23357894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'EDA-14'!$D$4</c:f>
              <c:strCache>
                <c:ptCount val="1"/>
                <c:pt idx="0">
                  <c:v>avg_price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'EDA-14'!$B$5:$C$49</c:f>
              <c:multiLvlStrCache>
                <c:ptCount val="45"/>
                <c:lvl>
                  <c:pt idx="0">
                    <c:v>Beverages</c:v>
                  </c:pt>
                  <c:pt idx="1">
                    <c:v>Meat/Poultry</c:v>
                  </c:pt>
                  <c:pt idx="2">
                    <c:v>Meat/Poultry</c:v>
                  </c:pt>
                  <c:pt idx="3">
                    <c:v>Seafood</c:v>
                  </c:pt>
                  <c:pt idx="4">
                    <c:v>Produce</c:v>
                  </c:pt>
                  <c:pt idx="5">
                    <c:v>Confections</c:v>
                  </c:pt>
                  <c:pt idx="6">
                    <c:v>Beverages</c:v>
                  </c:pt>
                  <c:pt idx="7">
                    <c:v>Produce</c:v>
                  </c:pt>
                  <c:pt idx="8">
                    <c:v>Dairy Products</c:v>
                  </c:pt>
                  <c:pt idx="9">
                    <c:v>Condiments</c:v>
                  </c:pt>
                  <c:pt idx="10">
                    <c:v>Meat/Poultry</c:v>
                  </c:pt>
                  <c:pt idx="11">
                    <c:v>Grains/Cereals</c:v>
                  </c:pt>
                  <c:pt idx="12">
                    <c:v>Produce</c:v>
                  </c:pt>
                  <c:pt idx="13">
                    <c:v>Confections</c:v>
                  </c:pt>
                  <c:pt idx="14">
                    <c:v>Dairy Products</c:v>
                  </c:pt>
                  <c:pt idx="15">
                    <c:v>Grains/Cereals</c:v>
                  </c:pt>
                  <c:pt idx="16">
                    <c:v>Condiments</c:v>
                  </c:pt>
                  <c:pt idx="17">
                    <c:v>Confections</c:v>
                  </c:pt>
                  <c:pt idx="18">
                    <c:v>Dairy Products</c:v>
                  </c:pt>
                  <c:pt idx="19">
                    <c:v>Seafood</c:v>
                  </c:pt>
                  <c:pt idx="20">
                    <c:v>Condiments</c:v>
                  </c:pt>
                  <c:pt idx="21">
                    <c:v>Dairy Products</c:v>
                  </c:pt>
                  <c:pt idx="22">
                    <c:v>Seafood</c:v>
                  </c:pt>
                  <c:pt idx="23">
                    <c:v>Condiments</c:v>
                  </c:pt>
                  <c:pt idx="24">
                    <c:v>Seafood</c:v>
                  </c:pt>
                  <c:pt idx="25">
                    <c:v>Beverages</c:v>
                  </c:pt>
                  <c:pt idx="26">
                    <c:v>Confections</c:v>
                  </c:pt>
                  <c:pt idx="27">
                    <c:v>Beverages</c:v>
                  </c:pt>
                  <c:pt idx="28">
                    <c:v>Confections</c:v>
                  </c:pt>
                  <c:pt idx="29">
                    <c:v>Produce</c:v>
                  </c:pt>
                  <c:pt idx="30">
                    <c:v>Meat/Poultry</c:v>
                  </c:pt>
                  <c:pt idx="31">
                    <c:v>Condiments</c:v>
                  </c:pt>
                  <c:pt idx="32">
                    <c:v>Beverages</c:v>
                  </c:pt>
                  <c:pt idx="33">
                    <c:v>Beverages</c:v>
                  </c:pt>
                  <c:pt idx="34">
                    <c:v>Grains/Cereals</c:v>
                  </c:pt>
                  <c:pt idx="35">
                    <c:v>Seafood</c:v>
                  </c:pt>
                  <c:pt idx="36">
                    <c:v>Grains/Cereals</c:v>
                  </c:pt>
                  <c:pt idx="37">
                    <c:v>Seafood</c:v>
                  </c:pt>
                  <c:pt idx="38">
                    <c:v>Condiments</c:v>
                  </c:pt>
                  <c:pt idx="39">
                    <c:v>Confections</c:v>
                  </c:pt>
                  <c:pt idx="40">
                    <c:v>Seafood</c:v>
                  </c:pt>
                  <c:pt idx="41">
                    <c:v>Condiments</c:v>
                  </c:pt>
                  <c:pt idx="42">
                    <c:v>Beverages</c:v>
                  </c:pt>
                  <c:pt idx="43">
                    <c:v>Grains/Cereals</c:v>
                  </c:pt>
                  <c:pt idx="44">
                    <c:v>Beverages</c:v>
                  </c:pt>
                </c:lvl>
                <c:lvl>
                  <c:pt idx="0">
                    <c:v>France</c:v>
                  </c:pt>
                  <c:pt idx="1">
                    <c:v>Germany</c:v>
                  </c:pt>
                  <c:pt idx="2">
                    <c:v>Japan</c:v>
                  </c:pt>
                  <c:pt idx="3">
                    <c:v>Australia</c:v>
                  </c:pt>
                  <c:pt idx="4">
                    <c:v>Australia</c:v>
                  </c:pt>
                  <c:pt idx="5">
                    <c:v>Canada</c:v>
                  </c:pt>
                  <c:pt idx="6">
                    <c:v>Singapore</c:v>
                  </c:pt>
                  <c:pt idx="7">
                    <c:v>Germany</c:v>
                  </c:pt>
                  <c:pt idx="8">
                    <c:v>France</c:v>
                  </c:pt>
                  <c:pt idx="9">
                    <c:v>Australia</c:v>
                  </c:pt>
                  <c:pt idx="10">
                    <c:v>Australia</c:v>
                  </c:pt>
                  <c:pt idx="11">
                    <c:v>Germany</c:v>
                  </c:pt>
                  <c:pt idx="12">
                    <c:v>USA</c:v>
                  </c:pt>
                  <c:pt idx="13">
                    <c:v>Germany</c:v>
                  </c:pt>
                  <c:pt idx="14">
                    <c:v>Spain</c:v>
                  </c:pt>
                  <c:pt idx="15">
                    <c:v>Italy</c:v>
                  </c:pt>
                  <c:pt idx="16">
                    <c:v>Canada</c:v>
                  </c:pt>
                  <c:pt idx="17">
                    <c:v>UK</c:v>
                  </c:pt>
                  <c:pt idx="18">
                    <c:v>Italy</c:v>
                  </c:pt>
                  <c:pt idx="19">
                    <c:v>Germany</c:v>
                  </c:pt>
                  <c:pt idx="20">
                    <c:v>USA</c:v>
                  </c:pt>
                  <c:pt idx="21">
                    <c:v>Norway</c:v>
                  </c:pt>
                  <c:pt idx="22">
                    <c:v>Sweden</c:v>
                  </c:pt>
                  <c:pt idx="23">
                    <c:v>Singapore</c:v>
                  </c:pt>
                  <c:pt idx="24">
                    <c:v>Japan</c:v>
                  </c:pt>
                  <c:pt idx="25">
                    <c:v>UK</c:v>
                  </c:pt>
                  <c:pt idx="26">
                    <c:v>Finland</c:v>
                  </c:pt>
                  <c:pt idx="27">
                    <c:v>Finland</c:v>
                  </c:pt>
                  <c:pt idx="28">
                    <c:v>Australia</c:v>
                  </c:pt>
                  <c:pt idx="29">
                    <c:v>Japan</c:v>
                  </c:pt>
                  <c:pt idx="30">
                    <c:v>Canada</c:v>
                  </c:pt>
                  <c:pt idx="31">
                    <c:v>Japan</c:v>
                  </c:pt>
                  <c:pt idx="32">
                    <c:v>USA</c:v>
                  </c:pt>
                  <c:pt idx="33">
                    <c:v>Australia</c:v>
                  </c:pt>
                  <c:pt idx="34">
                    <c:v>Sweden </c:v>
                  </c:pt>
                  <c:pt idx="35">
                    <c:v>USA</c:v>
                  </c:pt>
                  <c:pt idx="36">
                    <c:v>Singapore</c:v>
                  </c:pt>
                  <c:pt idx="37">
                    <c:v>France</c:v>
                  </c:pt>
                  <c:pt idx="38">
                    <c:v>Germany</c:v>
                  </c:pt>
                  <c:pt idx="39">
                    <c:v>Netherlands</c:v>
                  </c:pt>
                  <c:pt idx="40">
                    <c:v>Denmark</c:v>
                  </c:pt>
                  <c:pt idx="41">
                    <c:v>UK</c:v>
                  </c:pt>
                  <c:pt idx="42">
                    <c:v>Germany</c:v>
                  </c:pt>
                  <c:pt idx="43">
                    <c:v>Australia</c:v>
                  </c:pt>
                  <c:pt idx="44">
                    <c:v>Brazil</c:v>
                  </c:pt>
                </c:lvl>
              </c:multiLvlStrCache>
            </c:multiLvlStrRef>
          </c:cat>
          <c:val>
            <c:numRef>
              <c:f>'EDA-14'!$D$5:$D$49</c:f>
              <c:numCache>
                <c:formatCode>General</c:formatCode>
                <c:ptCount val="45"/>
                <c:pt idx="0">
                  <c:v>140.75</c:v>
                </c:pt>
                <c:pt idx="1">
                  <c:v>123.79</c:v>
                </c:pt>
                <c:pt idx="2">
                  <c:v>97</c:v>
                </c:pt>
                <c:pt idx="3">
                  <c:v>62.5</c:v>
                </c:pt>
                <c:pt idx="4">
                  <c:v>53</c:v>
                </c:pt>
                <c:pt idx="5">
                  <c:v>49.3</c:v>
                </c:pt>
                <c:pt idx="6">
                  <c:v>46</c:v>
                </c:pt>
                <c:pt idx="7">
                  <c:v>45.6</c:v>
                </c:pt>
                <c:pt idx="8">
                  <c:v>44.5</c:v>
                </c:pt>
                <c:pt idx="9">
                  <c:v>43.9</c:v>
                </c:pt>
                <c:pt idx="10">
                  <c:v>35.9</c:v>
                </c:pt>
                <c:pt idx="11">
                  <c:v>33.25</c:v>
                </c:pt>
                <c:pt idx="12">
                  <c:v>30</c:v>
                </c:pt>
                <c:pt idx="13">
                  <c:v>29.71</c:v>
                </c:pt>
                <c:pt idx="14">
                  <c:v>29.5</c:v>
                </c:pt>
                <c:pt idx="15">
                  <c:v>28.75</c:v>
                </c:pt>
                <c:pt idx="16">
                  <c:v>28.5</c:v>
                </c:pt>
                <c:pt idx="17">
                  <c:v>28.18</c:v>
                </c:pt>
                <c:pt idx="18">
                  <c:v>26.43</c:v>
                </c:pt>
                <c:pt idx="19">
                  <c:v>25.89</c:v>
                </c:pt>
                <c:pt idx="20">
                  <c:v>24.4</c:v>
                </c:pt>
                <c:pt idx="21">
                  <c:v>20</c:v>
                </c:pt>
                <c:pt idx="22">
                  <c:v>20</c:v>
                </c:pt>
                <c:pt idx="23">
                  <c:v>19.45</c:v>
                </c:pt>
                <c:pt idx="24">
                  <c:v>18.5</c:v>
                </c:pt>
                <c:pt idx="25">
                  <c:v>18.5</c:v>
                </c:pt>
                <c:pt idx="26">
                  <c:v>18.13</c:v>
                </c:pt>
                <c:pt idx="27">
                  <c:v>18</c:v>
                </c:pt>
                <c:pt idx="28">
                  <c:v>17.45</c:v>
                </c:pt>
                <c:pt idx="29">
                  <c:v>16.63</c:v>
                </c:pt>
                <c:pt idx="30">
                  <c:v>15.73</c:v>
                </c:pt>
                <c:pt idx="31">
                  <c:v>15.5</c:v>
                </c:pt>
                <c:pt idx="32">
                  <c:v>15.33</c:v>
                </c:pt>
                <c:pt idx="33">
                  <c:v>15</c:v>
                </c:pt>
                <c:pt idx="34">
                  <c:v>15</c:v>
                </c:pt>
                <c:pt idx="35">
                  <c:v>14.03</c:v>
                </c:pt>
                <c:pt idx="36">
                  <c:v>14</c:v>
                </c:pt>
                <c:pt idx="37">
                  <c:v>13.25</c:v>
                </c:pt>
                <c:pt idx="38">
                  <c:v>13</c:v>
                </c:pt>
                <c:pt idx="39">
                  <c:v>11.13</c:v>
                </c:pt>
                <c:pt idx="40">
                  <c:v>10.75</c:v>
                </c:pt>
                <c:pt idx="41">
                  <c:v>10</c:v>
                </c:pt>
                <c:pt idx="42">
                  <c:v>7.75</c:v>
                </c:pt>
                <c:pt idx="43">
                  <c:v>7</c:v>
                </c:pt>
                <c:pt idx="44">
                  <c:v>4.5</c:v>
                </c:pt>
              </c:numCache>
            </c:numRef>
          </c:val>
          <c:extLst>
            <c:ext xmlns:c16="http://schemas.microsoft.com/office/drawing/2014/chart" uri="{C3380CC4-5D6E-409C-BE32-E72D297353CC}">
              <c16:uniqueId val="{00000000-1912-4CFD-9E9C-7D8996339A43}"/>
            </c:ext>
          </c:extLst>
        </c:ser>
        <c:dLbls>
          <c:showLegendKey val="0"/>
          <c:showVal val="0"/>
          <c:showCatName val="0"/>
          <c:showSerName val="0"/>
          <c:showPercent val="0"/>
          <c:showBubbleSize val="0"/>
        </c:dLbls>
        <c:gapWidth val="150"/>
        <c:axId val="226067295"/>
        <c:axId val="108124623"/>
      </c:barChart>
      <c:lineChart>
        <c:grouping val="standard"/>
        <c:varyColors val="0"/>
        <c:ser>
          <c:idx val="1"/>
          <c:order val="1"/>
          <c:tx>
            <c:strRef>
              <c:f>'EDA-14'!$E$4</c:f>
              <c:strCache>
                <c:ptCount val="1"/>
                <c:pt idx="0">
                  <c:v>NumProducts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multiLvlStrRef>
              <c:f>'EDA-14'!$B$5:$C$49</c:f>
              <c:multiLvlStrCache>
                <c:ptCount val="45"/>
                <c:lvl>
                  <c:pt idx="0">
                    <c:v>Beverages</c:v>
                  </c:pt>
                  <c:pt idx="1">
                    <c:v>Meat/Poultry</c:v>
                  </c:pt>
                  <c:pt idx="2">
                    <c:v>Meat/Poultry</c:v>
                  </c:pt>
                  <c:pt idx="3">
                    <c:v>Seafood</c:v>
                  </c:pt>
                  <c:pt idx="4">
                    <c:v>Produce</c:v>
                  </c:pt>
                  <c:pt idx="5">
                    <c:v>Confections</c:v>
                  </c:pt>
                  <c:pt idx="6">
                    <c:v>Beverages</c:v>
                  </c:pt>
                  <c:pt idx="7">
                    <c:v>Produce</c:v>
                  </c:pt>
                  <c:pt idx="8">
                    <c:v>Dairy Products</c:v>
                  </c:pt>
                  <c:pt idx="9">
                    <c:v>Condiments</c:v>
                  </c:pt>
                  <c:pt idx="10">
                    <c:v>Meat/Poultry</c:v>
                  </c:pt>
                  <c:pt idx="11">
                    <c:v>Grains/Cereals</c:v>
                  </c:pt>
                  <c:pt idx="12">
                    <c:v>Produce</c:v>
                  </c:pt>
                  <c:pt idx="13">
                    <c:v>Confections</c:v>
                  </c:pt>
                  <c:pt idx="14">
                    <c:v>Dairy Products</c:v>
                  </c:pt>
                  <c:pt idx="15">
                    <c:v>Grains/Cereals</c:v>
                  </c:pt>
                  <c:pt idx="16">
                    <c:v>Condiments</c:v>
                  </c:pt>
                  <c:pt idx="17">
                    <c:v>Confections</c:v>
                  </c:pt>
                  <c:pt idx="18">
                    <c:v>Dairy Products</c:v>
                  </c:pt>
                  <c:pt idx="19">
                    <c:v>Seafood</c:v>
                  </c:pt>
                  <c:pt idx="20">
                    <c:v>Condiments</c:v>
                  </c:pt>
                  <c:pt idx="21">
                    <c:v>Dairy Products</c:v>
                  </c:pt>
                  <c:pt idx="22">
                    <c:v>Seafood</c:v>
                  </c:pt>
                  <c:pt idx="23">
                    <c:v>Condiments</c:v>
                  </c:pt>
                  <c:pt idx="24">
                    <c:v>Seafood</c:v>
                  </c:pt>
                  <c:pt idx="25">
                    <c:v>Beverages</c:v>
                  </c:pt>
                  <c:pt idx="26">
                    <c:v>Confections</c:v>
                  </c:pt>
                  <c:pt idx="27">
                    <c:v>Beverages</c:v>
                  </c:pt>
                  <c:pt idx="28">
                    <c:v>Confections</c:v>
                  </c:pt>
                  <c:pt idx="29">
                    <c:v>Produce</c:v>
                  </c:pt>
                  <c:pt idx="30">
                    <c:v>Meat/Poultry</c:v>
                  </c:pt>
                  <c:pt idx="31">
                    <c:v>Condiments</c:v>
                  </c:pt>
                  <c:pt idx="32">
                    <c:v>Beverages</c:v>
                  </c:pt>
                  <c:pt idx="33">
                    <c:v>Beverages</c:v>
                  </c:pt>
                  <c:pt idx="34">
                    <c:v>Grains/Cereals</c:v>
                  </c:pt>
                  <c:pt idx="35">
                    <c:v>Seafood</c:v>
                  </c:pt>
                  <c:pt idx="36">
                    <c:v>Grains/Cereals</c:v>
                  </c:pt>
                  <c:pt idx="37">
                    <c:v>Seafood</c:v>
                  </c:pt>
                  <c:pt idx="38">
                    <c:v>Condiments</c:v>
                  </c:pt>
                  <c:pt idx="39">
                    <c:v>Confections</c:v>
                  </c:pt>
                  <c:pt idx="40">
                    <c:v>Seafood</c:v>
                  </c:pt>
                  <c:pt idx="41">
                    <c:v>Condiments</c:v>
                  </c:pt>
                  <c:pt idx="42">
                    <c:v>Beverages</c:v>
                  </c:pt>
                  <c:pt idx="43">
                    <c:v>Grains/Cereals</c:v>
                  </c:pt>
                  <c:pt idx="44">
                    <c:v>Beverages</c:v>
                  </c:pt>
                </c:lvl>
                <c:lvl>
                  <c:pt idx="0">
                    <c:v>France</c:v>
                  </c:pt>
                  <c:pt idx="1">
                    <c:v>Germany</c:v>
                  </c:pt>
                  <c:pt idx="2">
                    <c:v>Japan</c:v>
                  </c:pt>
                  <c:pt idx="3">
                    <c:v>Australia</c:v>
                  </c:pt>
                  <c:pt idx="4">
                    <c:v>Australia</c:v>
                  </c:pt>
                  <c:pt idx="5">
                    <c:v>Canada</c:v>
                  </c:pt>
                  <c:pt idx="6">
                    <c:v>Singapore</c:v>
                  </c:pt>
                  <c:pt idx="7">
                    <c:v>Germany</c:v>
                  </c:pt>
                  <c:pt idx="8">
                    <c:v>France</c:v>
                  </c:pt>
                  <c:pt idx="9">
                    <c:v>Australia</c:v>
                  </c:pt>
                  <c:pt idx="10">
                    <c:v>Australia</c:v>
                  </c:pt>
                  <c:pt idx="11">
                    <c:v>Germany</c:v>
                  </c:pt>
                  <c:pt idx="12">
                    <c:v>USA</c:v>
                  </c:pt>
                  <c:pt idx="13">
                    <c:v>Germany</c:v>
                  </c:pt>
                  <c:pt idx="14">
                    <c:v>Spain</c:v>
                  </c:pt>
                  <c:pt idx="15">
                    <c:v>Italy</c:v>
                  </c:pt>
                  <c:pt idx="16">
                    <c:v>Canada</c:v>
                  </c:pt>
                  <c:pt idx="17">
                    <c:v>UK</c:v>
                  </c:pt>
                  <c:pt idx="18">
                    <c:v>Italy</c:v>
                  </c:pt>
                  <c:pt idx="19">
                    <c:v>Germany</c:v>
                  </c:pt>
                  <c:pt idx="20">
                    <c:v>USA</c:v>
                  </c:pt>
                  <c:pt idx="21">
                    <c:v>Norway</c:v>
                  </c:pt>
                  <c:pt idx="22">
                    <c:v>Sweden</c:v>
                  </c:pt>
                  <c:pt idx="23">
                    <c:v>Singapore</c:v>
                  </c:pt>
                  <c:pt idx="24">
                    <c:v>Japan</c:v>
                  </c:pt>
                  <c:pt idx="25">
                    <c:v>UK</c:v>
                  </c:pt>
                  <c:pt idx="26">
                    <c:v>Finland</c:v>
                  </c:pt>
                  <c:pt idx="27">
                    <c:v>Finland</c:v>
                  </c:pt>
                  <c:pt idx="28">
                    <c:v>Australia</c:v>
                  </c:pt>
                  <c:pt idx="29">
                    <c:v>Japan</c:v>
                  </c:pt>
                  <c:pt idx="30">
                    <c:v>Canada</c:v>
                  </c:pt>
                  <c:pt idx="31">
                    <c:v>Japan</c:v>
                  </c:pt>
                  <c:pt idx="32">
                    <c:v>USA</c:v>
                  </c:pt>
                  <c:pt idx="33">
                    <c:v>Australia</c:v>
                  </c:pt>
                  <c:pt idx="34">
                    <c:v>Sweden </c:v>
                  </c:pt>
                  <c:pt idx="35">
                    <c:v>USA</c:v>
                  </c:pt>
                  <c:pt idx="36">
                    <c:v>Singapore</c:v>
                  </c:pt>
                  <c:pt idx="37">
                    <c:v>France</c:v>
                  </c:pt>
                  <c:pt idx="38">
                    <c:v>Germany</c:v>
                  </c:pt>
                  <c:pt idx="39">
                    <c:v>Netherlands</c:v>
                  </c:pt>
                  <c:pt idx="40">
                    <c:v>Denmark</c:v>
                  </c:pt>
                  <c:pt idx="41">
                    <c:v>UK</c:v>
                  </c:pt>
                  <c:pt idx="42">
                    <c:v>Germany</c:v>
                  </c:pt>
                  <c:pt idx="43">
                    <c:v>Australia</c:v>
                  </c:pt>
                  <c:pt idx="44">
                    <c:v>Brazil</c:v>
                  </c:pt>
                </c:lvl>
              </c:multiLvlStrCache>
            </c:multiLvlStrRef>
          </c:cat>
          <c:val>
            <c:numRef>
              <c:f>'EDA-14'!$E$5:$E$49</c:f>
              <c:numCache>
                <c:formatCode>General</c:formatCode>
                <c:ptCount val="45"/>
                <c:pt idx="0">
                  <c:v>2</c:v>
                </c:pt>
                <c:pt idx="1">
                  <c:v>1</c:v>
                </c:pt>
                <c:pt idx="2">
                  <c:v>1</c:v>
                </c:pt>
                <c:pt idx="3">
                  <c:v>1</c:v>
                </c:pt>
                <c:pt idx="4">
                  <c:v>1</c:v>
                </c:pt>
                <c:pt idx="5">
                  <c:v>1</c:v>
                </c:pt>
                <c:pt idx="6">
                  <c:v>1</c:v>
                </c:pt>
                <c:pt idx="7">
                  <c:v>1</c:v>
                </c:pt>
                <c:pt idx="8">
                  <c:v>2</c:v>
                </c:pt>
                <c:pt idx="9">
                  <c:v>1</c:v>
                </c:pt>
                <c:pt idx="10">
                  <c:v>2</c:v>
                </c:pt>
                <c:pt idx="11">
                  <c:v>1</c:v>
                </c:pt>
                <c:pt idx="12">
                  <c:v>1</c:v>
                </c:pt>
                <c:pt idx="13">
                  <c:v>3</c:v>
                </c:pt>
                <c:pt idx="14">
                  <c:v>2</c:v>
                </c:pt>
                <c:pt idx="15">
                  <c:v>2</c:v>
                </c:pt>
                <c:pt idx="16">
                  <c:v>1</c:v>
                </c:pt>
                <c:pt idx="17">
                  <c:v>4</c:v>
                </c:pt>
                <c:pt idx="18">
                  <c:v>3</c:v>
                </c:pt>
                <c:pt idx="19">
                  <c:v>1</c:v>
                </c:pt>
                <c:pt idx="20">
                  <c:v>6</c:v>
                </c:pt>
                <c:pt idx="21">
                  <c:v>3</c:v>
                </c:pt>
                <c:pt idx="22">
                  <c:v>3</c:v>
                </c:pt>
                <c:pt idx="23">
                  <c:v>1</c:v>
                </c:pt>
                <c:pt idx="24">
                  <c:v>2</c:v>
                </c:pt>
                <c:pt idx="25">
                  <c:v>2</c:v>
                </c:pt>
                <c:pt idx="26">
                  <c:v>2</c:v>
                </c:pt>
                <c:pt idx="27">
                  <c:v>1</c:v>
                </c:pt>
                <c:pt idx="28">
                  <c:v>1</c:v>
                </c:pt>
                <c:pt idx="29">
                  <c:v>2</c:v>
                </c:pt>
                <c:pt idx="30">
                  <c:v>2</c:v>
                </c:pt>
                <c:pt idx="31">
                  <c:v>1</c:v>
                </c:pt>
                <c:pt idx="32">
                  <c:v>3</c:v>
                </c:pt>
                <c:pt idx="33">
                  <c:v>1</c:v>
                </c:pt>
                <c:pt idx="34">
                  <c:v>2</c:v>
                </c:pt>
                <c:pt idx="35">
                  <c:v>2</c:v>
                </c:pt>
                <c:pt idx="36">
                  <c:v>1</c:v>
                </c:pt>
                <c:pt idx="37">
                  <c:v>1</c:v>
                </c:pt>
                <c:pt idx="38">
                  <c:v>1</c:v>
                </c:pt>
                <c:pt idx="39">
                  <c:v>2</c:v>
                </c:pt>
                <c:pt idx="40">
                  <c:v>2</c:v>
                </c:pt>
                <c:pt idx="41">
                  <c:v>1</c:v>
                </c:pt>
                <c:pt idx="42">
                  <c:v>1</c:v>
                </c:pt>
                <c:pt idx="43">
                  <c:v>1</c:v>
                </c:pt>
                <c:pt idx="44">
                  <c:v>1</c:v>
                </c:pt>
              </c:numCache>
            </c:numRef>
          </c:val>
          <c:smooth val="0"/>
          <c:extLst>
            <c:ext xmlns:c16="http://schemas.microsoft.com/office/drawing/2014/chart" uri="{C3380CC4-5D6E-409C-BE32-E72D297353CC}">
              <c16:uniqueId val="{00000001-1912-4CFD-9E9C-7D8996339A43}"/>
            </c:ext>
          </c:extLst>
        </c:ser>
        <c:dLbls>
          <c:showLegendKey val="0"/>
          <c:showVal val="0"/>
          <c:showCatName val="0"/>
          <c:showSerName val="0"/>
          <c:showPercent val="0"/>
          <c:showBubbleSize val="0"/>
        </c:dLbls>
        <c:marker val="1"/>
        <c:smooth val="0"/>
        <c:axId val="284576415"/>
        <c:axId val="284575935"/>
      </c:lineChart>
      <c:catAx>
        <c:axId val="22606729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8124623"/>
        <c:crosses val="autoZero"/>
        <c:auto val="1"/>
        <c:lblAlgn val="ctr"/>
        <c:lblOffset val="100"/>
        <c:noMultiLvlLbl val="0"/>
      </c:catAx>
      <c:valAx>
        <c:axId val="108124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6067295"/>
        <c:crosses val="autoZero"/>
        <c:crossBetween val="between"/>
      </c:valAx>
      <c:valAx>
        <c:axId val="284575935"/>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4576415"/>
        <c:crosses val="max"/>
        <c:crossBetween val="between"/>
      </c:valAx>
      <c:catAx>
        <c:axId val="284576415"/>
        <c:scaling>
          <c:orientation val="minMax"/>
        </c:scaling>
        <c:delete val="1"/>
        <c:axPos val="b"/>
        <c:numFmt formatCode="General" sourceLinked="1"/>
        <c:majorTickMark val="none"/>
        <c:minorTickMark val="none"/>
        <c:tickLblPos val="nextTo"/>
        <c:crossAx val="28457593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Project.xlsx]EDA-15!PivotTable1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Region</a:t>
            </a:r>
            <a:r>
              <a:rPr lang="en-IN" baseline="0"/>
              <a:t> wise Supplier Pricing and Category</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'EDA-15'!$M$5:$M$6</c:f>
              <c:strCache>
                <c:ptCount val="1"/>
                <c:pt idx="0">
                  <c:v>Meat/Poultry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'EDA-15'!$M$7:$M$24</c:f>
              <c:numCache>
                <c:formatCode>General</c:formatCode>
                <c:ptCount val="17"/>
                <c:pt idx="0">
                  <c:v>123.79</c:v>
                </c:pt>
                <c:pt idx="1">
                  <c:v>35.9</c:v>
                </c:pt>
                <c:pt idx="3">
                  <c:v>97</c:v>
                </c:pt>
                <c:pt idx="4">
                  <c:v>15.73</c:v>
                </c:pt>
              </c:numCache>
            </c:numRef>
          </c:val>
          <c:extLst>
            <c:ext xmlns:c16="http://schemas.microsoft.com/office/drawing/2014/chart" uri="{C3380CC4-5D6E-409C-BE32-E72D297353CC}">
              <c16:uniqueId val="{00000000-BFB7-423D-AC96-59806470FA11}"/>
            </c:ext>
          </c:extLst>
        </c:ser>
        <c:ser>
          <c:idx val="1"/>
          <c:order val="1"/>
          <c:tx>
            <c:strRef>
              <c:f>'EDA-15'!$N$5:$N$6</c:f>
              <c:strCache>
                <c:ptCount val="1"/>
                <c:pt idx="0">
                  <c:v>Beverages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'EDA-15'!$N$7:$N$24</c:f>
              <c:numCache>
                <c:formatCode>General</c:formatCode>
                <c:ptCount val="17"/>
                <c:pt idx="0">
                  <c:v>7.75</c:v>
                </c:pt>
                <c:pt idx="1">
                  <c:v>15</c:v>
                </c:pt>
                <c:pt idx="2">
                  <c:v>140.75</c:v>
                </c:pt>
                <c:pt idx="5">
                  <c:v>15.33</c:v>
                </c:pt>
                <c:pt idx="6">
                  <c:v>46</c:v>
                </c:pt>
                <c:pt idx="7">
                  <c:v>18.5</c:v>
                </c:pt>
                <c:pt idx="9">
                  <c:v>18</c:v>
                </c:pt>
                <c:pt idx="16">
                  <c:v>4.5</c:v>
                </c:pt>
              </c:numCache>
            </c:numRef>
          </c:val>
          <c:extLst>
            <c:ext xmlns:c16="http://schemas.microsoft.com/office/drawing/2014/chart" uri="{C3380CC4-5D6E-409C-BE32-E72D297353CC}">
              <c16:uniqueId val="{00000001-BFB7-423D-AC96-59806470FA11}"/>
            </c:ext>
          </c:extLst>
        </c:ser>
        <c:ser>
          <c:idx val="2"/>
          <c:order val="2"/>
          <c:tx>
            <c:strRef>
              <c:f>'EDA-15'!$O$5:$O$6</c:f>
              <c:strCache>
                <c:ptCount val="1"/>
                <c:pt idx="0">
                  <c:v>Seafood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'EDA-15'!$O$7:$O$24</c:f>
              <c:numCache>
                <c:formatCode>General</c:formatCode>
                <c:ptCount val="17"/>
                <c:pt idx="0">
                  <c:v>25.89</c:v>
                </c:pt>
                <c:pt idx="1">
                  <c:v>62.5</c:v>
                </c:pt>
                <c:pt idx="2">
                  <c:v>13.25</c:v>
                </c:pt>
                <c:pt idx="3">
                  <c:v>18.5</c:v>
                </c:pt>
                <c:pt idx="5">
                  <c:v>14.03</c:v>
                </c:pt>
                <c:pt idx="11">
                  <c:v>20</c:v>
                </c:pt>
                <c:pt idx="15">
                  <c:v>10.75</c:v>
                </c:pt>
              </c:numCache>
            </c:numRef>
          </c:val>
          <c:extLst>
            <c:ext xmlns:c16="http://schemas.microsoft.com/office/drawing/2014/chart" uri="{C3380CC4-5D6E-409C-BE32-E72D297353CC}">
              <c16:uniqueId val="{00000002-BFB7-423D-AC96-59806470FA11}"/>
            </c:ext>
          </c:extLst>
        </c:ser>
        <c:ser>
          <c:idx val="3"/>
          <c:order val="3"/>
          <c:tx>
            <c:strRef>
              <c:f>'EDA-15'!$P$5:$P$6</c:f>
              <c:strCache>
                <c:ptCount val="1"/>
                <c:pt idx="0">
                  <c:v>Condiments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'EDA-15'!$P$7:$P$24</c:f>
              <c:numCache>
                <c:formatCode>General</c:formatCode>
                <c:ptCount val="17"/>
                <c:pt idx="0">
                  <c:v>13</c:v>
                </c:pt>
                <c:pt idx="1">
                  <c:v>43.9</c:v>
                </c:pt>
                <c:pt idx="3">
                  <c:v>15.5</c:v>
                </c:pt>
                <c:pt idx="4">
                  <c:v>28.5</c:v>
                </c:pt>
                <c:pt idx="5">
                  <c:v>24.4</c:v>
                </c:pt>
                <c:pt idx="6">
                  <c:v>19.45</c:v>
                </c:pt>
                <c:pt idx="7">
                  <c:v>10</c:v>
                </c:pt>
              </c:numCache>
            </c:numRef>
          </c:val>
          <c:extLst>
            <c:ext xmlns:c16="http://schemas.microsoft.com/office/drawing/2014/chart" uri="{C3380CC4-5D6E-409C-BE32-E72D297353CC}">
              <c16:uniqueId val="{00000003-BFB7-423D-AC96-59806470FA11}"/>
            </c:ext>
          </c:extLst>
        </c:ser>
        <c:ser>
          <c:idx val="4"/>
          <c:order val="4"/>
          <c:tx>
            <c:strRef>
              <c:f>'EDA-15'!$Q$5:$Q$6</c:f>
              <c:strCache>
                <c:ptCount val="1"/>
                <c:pt idx="0">
                  <c:v>Confections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'EDA-15'!$Q$7:$Q$24</c:f>
              <c:numCache>
                <c:formatCode>General</c:formatCode>
                <c:ptCount val="17"/>
                <c:pt idx="0">
                  <c:v>29.71</c:v>
                </c:pt>
                <c:pt idx="1">
                  <c:v>17.45</c:v>
                </c:pt>
                <c:pt idx="4">
                  <c:v>49.3</c:v>
                </c:pt>
                <c:pt idx="7">
                  <c:v>28.18</c:v>
                </c:pt>
                <c:pt idx="9">
                  <c:v>18.13</c:v>
                </c:pt>
                <c:pt idx="14">
                  <c:v>11.13</c:v>
                </c:pt>
              </c:numCache>
            </c:numRef>
          </c:val>
          <c:extLst>
            <c:ext xmlns:c16="http://schemas.microsoft.com/office/drawing/2014/chart" uri="{C3380CC4-5D6E-409C-BE32-E72D297353CC}">
              <c16:uniqueId val="{00000004-BFB7-423D-AC96-59806470FA11}"/>
            </c:ext>
          </c:extLst>
        </c:ser>
        <c:ser>
          <c:idx val="5"/>
          <c:order val="5"/>
          <c:tx>
            <c:strRef>
              <c:f>'EDA-15'!$R$5:$R$6</c:f>
              <c:strCache>
                <c:ptCount val="1"/>
                <c:pt idx="0">
                  <c:v>Produce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'EDA-15'!$R$7:$R$24</c:f>
              <c:numCache>
                <c:formatCode>General</c:formatCode>
                <c:ptCount val="17"/>
                <c:pt idx="0">
                  <c:v>45.6</c:v>
                </c:pt>
                <c:pt idx="1">
                  <c:v>53</c:v>
                </c:pt>
                <c:pt idx="3">
                  <c:v>16.63</c:v>
                </c:pt>
                <c:pt idx="5">
                  <c:v>30</c:v>
                </c:pt>
              </c:numCache>
            </c:numRef>
          </c:val>
          <c:extLst>
            <c:ext xmlns:c16="http://schemas.microsoft.com/office/drawing/2014/chart" uri="{C3380CC4-5D6E-409C-BE32-E72D297353CC}">
              <c16:uniqueId val="{00000005-BFB7-423D-AC96-59806470FA11}"/>
            </c:ext>
          </c:extLst>
        </c:ser>
        <c:ser>
          <c:idx val="6"/>
          <c:order val="6"/>
          <c:tx>
            <c:strRef>
              <c:f>'EDA-15'!$S$5:$S$6</c:f>
              <c:strCache>
                <c:ptCount val="1"/>
                <c:pt idx="0">
                  <c:v>Dairy Products</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'EDA-15'!$S$7:$S$24</c:f>
              <c:numCache>
                <c:formatCode>General</c:formatCode>
                <c:ptCount val="17"/>
                <c:pt idx="2">
                  <c:v>44.5</c:v>
                </c:pt>
                <c:pt idx="8">
                  <c:v>26.43</c:v>
                </c:pt>
                <c:pt idx="10">
                  <c:v>29.5</c:v>
                </c:pt>
                <c:pt idx="12">
                  <c:v>20</c:v>
                </c:pt>
              </c:numCache>
            </c:numRef>
          </c:val>
          <c:extLst>
            <c:ext xmlns:c16="http://schemas.microsoft.com/office/drawing/2014/chart" uri="{C3380CC4-5D6E-409C-BE32-E72D297353CC}">
              <c16:uniqueId val="{00000006-BFB7-423D-AC96-59806470FA11}"/>
            </c:ext>
          </c:extLst>
        </c:ser>
        <c:ser>
          <c:idx val="7"/>
          <c:order val="7"/>
          <c:tx>
            <c:strRef>
              <c:f>'EDA-15'!$T$5:$T$6</c:f>
              <c:strCache>
                <c:ptCount val="1"/>
                <c:pt idx="0">
                  <c:v>Grains/Cereals</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'EDA-15'!$L$7:$L$24</c:f>
              <c:strCache>
                <c:ptCount val="17"/>
                <c:pt idx="0">
                  <c:v>Germany</c:v>
                </c:pt>
                <c:pt idx="1">
                  <c:v>Australia</c:v>
                </c:pt>
                <c:pt idx="2">
                  <c:v>France</c:v>
                </c:pt>
                <c:pt idx="3">
                  <c:v>Japan</c:v>
                </c:pt>
                <c:pt idx="4">
                  <c:v>Canada</c:v>
                </c:pt>
                <c:pt idx="5">
                  <c:v>USA</c:v>
                </c:pt>
                <c:pt idx="6">
                  <c:v>Singapore</c:v>
                </c:pt>
                <c:pt idx="7">
                  <c:v>UK</c:v>
                </c:pt>
                <c:pt idx="8">
                  <c:v>Italy</c:v>
                </c:pt>
                <c:pt idx="9">
                  <c:v>Finland</c:v>
                </c:pt>
                <c:pt idx="10">
                  <c:v>Spain</c:v>
                </c:pt>
                <c:pt idx="11">
                  <c:v>Sweden</c:v>
                </c:pt>
                <c:pt idx="12">
                  <c:v>Norway</c:v>
                </c:pt>
                <c:pt idx="13">
                  <c:v>Sweden </c:v>
                </c:pt>
                <c:pt idx="14">
                  <c:v>Netherlands</c:v>
                </c:pt>
                <c:pt idx="15">
                  <c:v>Denmark</c:v>
                </c:pt>
                <c:pt idx="16">
                  <c:v>Brazil</c:v>
                </c:pt>
              </c:strCache>
            </c:strRef>
          </c:cat>
          <c:val>
            <c:numRef>
              <c:f>'EDA-15'!$T$7:$T$24</c:f>
              <c:numCache>
                <c:formatCode>General</c:formatCode>
                <c:ptCount val="17"/>
                <c:pt idx="0">
                  <c:v>33.25</c:v>
                </c:pt>
                <c:pt idx="1">
                  <c:v>7</c:v>
                </c:pt>
                <c:pt idx="6">
                  <c:v>14</c:v>
                </c:pt>
                <c:pt idx="8">
                  <c:v>28.75</c:v>
                </c:pt>
                <c:pt idx="13">
                  <c:v>15</c:v>
                </c:pt>
              </c:numCache>
            </c:numRef>
          </c:val>
          <c:extLst>
            <c:ext xmlns:c16="http://schemas.microsoft.com/office/drawing/2014/chart" uri="{C3380CC4-5D6E-409C-BE32-E72D297353CC}">
              <c16:uniqueId val="{00000007-BFB7-423D-AC96-59806470FA11}"/>
            </c:ext>
          </c:extLst>
        </c:ser>
        <c:dLbls>
          <c:showLegendKey val="0"/>
          <c:showVal val="0"/>
          <c:showCatName val="0"/>
          <c:showSerName val="0"/>
          <c:showPercent val="0"/>
          <c:showBubbleSize val="0"/>
        </c:dLbls>
        <c:gapWidth val="150"/>
        <c:overlap val="100"/>
        <c:axId val="1419364560"/>
        <c:axId val="1419363600"/>
      </c:barChart>
      <c:catAx>
        <c:axId val="14193645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19363600"/>
        <c:crosses val="autoZero"/>
        <c:auto val="1"/>
        <c:lblAlgn val="ctr"/>
        <c:lblOffset val="100"/>
        <c:noMultiLvlLbl val="0"/>
      </c:catAx>
      <c:valAx>
        <c:axId val="141936360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193645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1"/>
          <c:order val="1"/>
          <c:tx>
            <c:strRef>
              <c:f>'EDA-2'!$D$85</c:f>
              <c:strCache>
                <c:ptCount val="1"/>
                <c:pt idx="0">
                  <c:v>total_orders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'EDA-2'!$B$86:$B$106</c:f>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f>'EDA-2'!$D$86:$D$106</c:f>
              <c:numCache>
                <c:formatCode>General</c:formatCode>
                <c:ptCount val="21"/>
                <c:pt idx="0">
                  <c:v>122</c:v>
                </c:pt>
                <c:pt idx="1">
                  <c:v>122</c:v>
                </c:pt>
                <c:pt idx="2">
                  <c:v>83</c:v>
                </c:pt>
                <c:pt idx="3">
                  <c:v>77</c:v>
                </c:pt>
                <c:pt idx="4">
                  <c:v>56</c:v>
                </c:pt>
                <c:pt idx="5">
                  <c:v>46</c:v>
                </c:pt>
                <c:pt idx="6">
                  <c:v>40</c:v>
                </c:pt>
                <c:pt idx="7">
                  <c:v>37</c:v>
                </c:pt>
                <c:pt idx="8">
                  <c:v>30</c:v>
                </c:pt>
                <c:pt idx="9">
                  <c:v>28</c:v>
                </c:pt>
                <c:pt idx="10">
                  <c:v>28</c:v>
                </c:pt>
                <c:pt idx="11">
                  <c:v>23</c:v>
                </c:pt>
                <c:pt idx="12">
                  <c:v>22</c:v>
                </c:pt>
                <c:pt idx="13">
                  <c:v>19</c:v>
                </c:pt>
                <c:pt idx="14">
                  <c:v>19</c:v>
                </c:pt>
                <c:pt idx="15">
                  <c:v>18</c:v>
                </c:pt>
                <c:pt idx="16">
                  <c:v>18</c:v>
                </c:pt>
                <c:pt idx="17">
                  <c:v>16</c:v>
                </c:pt>
                <c:pt idx="18">
                  <c:v>13</c:v>
                </c:pt>
                <c:pt idx="19">
                  <c:v>7</c:v>
                </c:pt>
                <c:pt idx="20">
                  <c:v>6</c:v>
                </c:pt>
              </c:numCache>
            </c:numRef>
          </c:val>
          <c:extLst>
            <c:ext xmlns:c16="http://schemas.microsoft.com/office/drawing/2014/chart" uri="{C3380CC4-5D6E-409C-BE32-E72D297353CC}">
              <c16:uniqueId val="{00000000-4196-45EC-AA9E-A0686B817911}"/>
            </c:ext>
          </c:extLst>
        </c:ser>
        <c:dLbls>
          <c:dLblPos val="outEnd"/>
          <c:showLegendKey val="0"/>
          <c:showVal val="1"/>
          <c:showCatName val="0"/>
          <c:showSerName val="0"/>
          <c:showPercent val="0"/>
          <c:showBubbleSize val="0"/>
        </c:dLbls>
        <c:gapWidth val="100"/>
        <c:overlap val="-24"/>
        <c:axId val="1049624463"/>
        <c:axId val="1286610223"/>
        <c:extLst>
          <c:ext xmlns:c15="http://schemas.microsoft.com/office/drawing/2012/chart" uri="{02D57815-91ED-43cb-92C2-25804820EDAC}">
            <c15:filteredBarSeries>
              <c15:ser>
                <c:idx val="0"/>
                <c:order val="0"/>
                <c:tx>
                  <c:strRef>
                    <c:extLst>
                      <c:ext uri="{02D57815-91ED-43cb-92C2-25804820EDAC}">
                        <c15:formulaRef>
                          <c15:sqref>'EDA-2'!$C$85</c15:sqref>
                        </c15:formulaRef>
                      </c:ext>
                    </c:extLst>
                    <c:strCache>
                      <c:ptCount val="1"/>
                      <c:pt idx="0">
                        <c:v>num_customers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lt1">
                                <a:lumMod val="95000"/>
                                <a:alpha val="54000"/>
                              </a:schemeClr>
                            </a:solidFill>
                          </a:ln>
                          <a:effectLst/>
                        </c:spPr>
                      </c15:leaderLines>
                    </c:ext>
                  </c:extLst>
                </c:dLbls>
                <c:cat>
                  <c:strRef>
                    <c:extLst>
                      <c:ext uri="{02D57815-91ED-43cb-92C2-25804820EDAC}">
                        <c15:formulaRef>
                          <c15:sqref>'EDA-2'!$B$86:$B$106</c15:sqref>
                        </c15:formulaRef>
                      </c:ext>
                    </c:extLst>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extLst>
                      <c:ext uri="{02D57815-91ED-43cb-92C2-25804820EDAC}">
                        <c15:formulaRef>
                          <c15:sqref>'EDA-2'!$C$86:$C$106</c15:sqref>
                        </c15:formulaRef>
                      </c:ext>
                    </c:extLst>
                    <c:numCache>
                      <c:formatCode>General</c:formatCode>
                      <c:ptCount val="21"/>
                      <c:pt idx="0">
                        <c:v>13</c:v>
                      </c:pt>
                      <c:pt idx="1">
                        <c:v>11</c:v>
                      </c:pt>
                      <c:pt idx="2">
                        <c:v>9</c:v>
                      </c:pt>
                      <c:pt idx="3">
                        <c:v>10</c:v>
                      </c:pt>
                      <c:pt idx="4">
                        <c:v>7</c:v>
                      </c:pt>
                      <c:pt idx="5">
                        <c:v>4</c:v>
                      </c:pt>
                      <c:pt idx="6">
                        <c:v>2</c:v>
                      </c:pt>
                      <c:pt idx="7">
                        <c:v>2</c:v>
                      </c:pt>
                      <c:pt idx="8">
                        <c:v>3</c:v>
                      </c:pt>
                      <c:pt idx="9">
                        <c:v>5</c:v>
                      </c:pt>
                      <c:pt idx="10">
                        <c:v>3</c:v>
                      </c:pt>
                      <c:pt idx="11">
                        <c:v>4</c:v>
                      </c:pt>
                      <c:pt idx="12">
                        <c:v>2</c:v>
                      </c:pt>
                      <c:pt idx="13">
                        <c:v>1</c:v>
                      </c:pt>
                      <c:pt idx="14">
                        <c:v>2</c:v>
                      </c:pt>
                      <c:pt idx="15">
                        <c:v>2</c:v>
                      </c:pt>
                      <c:pt idx="16">
                        <c:v>2</c:v>
                      </c:pt>
                      <c:pt idx="17">
                        <c:v>3</c:v>
                      </c:pt>
                      <c:pt idx="18">
                        <c:v>2</c:v>
                      </c:pt>
                      <c:pt idx="19">
                        <c:v>1</c:v>
                      </c:pt>
                      <c:pt idx="20">
                        <c:v>1</c:v>
                      </c:pt>
                    </c:numCache>
                  </c:numRef>
                </c:val>
                <c:extLst>
                  <c:ext xmlns:c16="http://schemas.microsoft.com/office/drawing/2014/chart" uri="{C3380CC4-5D6E-409C-BE32-E72D297353CC}">
                    <c16:uniqueId val="{00000001-4196-45EC-AA9E-A0686B817911}"/>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'EDA-2'!$E$85</c15:sqref>
                        </c15:formulaRef>
                      </c:ext>
                    </c:extLst>
                    <c:strCache>
                      <c:ptCount val="1"/>
                      <c:pt idx="0">
                        <c:v>total_spent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'EDA-2'!$B$86:$B$106</c15:sqref>
                        </c15:formulaRef>
                      </c:ext>
                    </c:extLst>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extLst xmlns:c15="http://schemas.microsoft.com/office/drawing/2012/chart">
                      <c:ext xmlns:c15="http://schemas.microsoft.com/office/drawing/2012/chart" uri="{02D57815-91ED-43cb-92C2-25804820EDAC}">
                        <c15:formulaRef>
                          <c15:sqref>'EDA-2'!$E$86:$E$106</c15:sqref>
                        </c15:formulaRef>
                      </c:ext>
                    </c:extLst>
                    <c:numCache>
                      <c:formatCode>0.00</c:formatCode>
                      <c:ptCount val="21"/>
                      <c:pt idx="0">
                        <c:v>263566.98</c:v>
                      </c:pt>
                      <c:pt idx="1">
                        <c:v>244640.63</c:v>
                      </c:pt>
                      <c:pt idx="2">
                        <c:v>114968.48</c:v>
                      </c:pt>
                      <c:pt idx="3">
                        <c:v>85498.76</c:v>
                      </c:pt>
                      <c:pt idx="4">
                        <c:v>60616.51</c:v>
                      </c:pt>
                      <c:pt idx="5">
                        <c:v>60814.89</c:v>
                      </c:pt>
                      <c:pt idx="6">
                        <c:v>139496.63</c:v>
                      </c:pt>
                      <c:pt idx="7">
                        <c:v>59523.7</c:v>
                      </c:pt>
                      <c:pt idx="8">
                        <c:v>55334.1</c:v>
                      </c:pt>
                      <c:pt idx="9">
                        <c:v>24073.45</c:v>
                      </c:pt>
                      <c:pt idx="10">
                        <c:v>16705.150000000001</c:v>
                      </c:pt>
                      <c:pt idx="11">
                        <c:v>19431.89</c:v>
                      </c:pt>
                      <c:pt idx="12">
                        <c:v>19778.45</c:v>
                      </c:pt>
                      <c:pt idx="13">
                        <c:v>57317.39</c:v>
                      </c:pt>
                      <c:pt idx="14">
                        <c:v>35134.980000000003</c:v>
                      </c:pt>
                      <c:pt idx="15">
                        <c:v>34782.25</c:v>
                      </c:pt>
                      <c:pt idx="16">
                        <c:v>32919.5</c:v>
                      </c:pt>
                      <c:pt idx="17">
                        <c:v>8119.1</c:v>
                      </c:pt>
                      <c:pt idx="18">
                        <c:v>12468.65</c:v>
                      </c:pt>
                      <c:pt idx="19">
                        <c:v>3531.95</c:v>
                      </c:pt>
                      <c:pt idx="20">
                        <c:v>5735.15</c:v>
                      </c:pt>
                    </c:numCache>
                  </c:numRef>
                </c:val>
                <c:extLst xmlns:c15="http://schemas.microsoft.com/office/drawing/2012/chart">
                  <c:ext xmlns:c16="http://schemas.microsoft.com/office/drawing/2014/chart" uri="{C3380CC4-5D6E-409C-BE32-E72D297353CC}">
                    <c16:uniqueId val="{00000002-4196-45EC-AA9E-A0686B817911}"/>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'EDA-2'!$F$85</c15:sqref>
                        </c15:formulaRef>
                      </c:ext>
                    </c:extLst>
                    <c:strCache>
                      <c:ptCount val="1"/>
                      <c:pt idx="0">
                        <c:v>avg_order_value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'EDA-2'!$B$86:$B$106</c15:sqref>
                        </c15:formulaRef>
                      </c:ext>
                    </c:extLst>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extLst xmlns:c15="http://schemas.microsoft.com/office/drawing/2012/chart">
                      <c:ext xmlns:c15="http://schemas.microsoft.com/office/drawing/2012/chart" uri="{02D57815-91ED-43cb-92C2-25804820EDAC}">
                        <c15:formulaRef>
                          <c15:sqref>'EDA-2'!$F$86:$F$106</c15:sqref>
                        </c15:formulaRef>
                      </c:ext>
                    </c:extLst>
                    <c:numCache>
                      <c:formatCode>0.00</c:formatCode>
                      <c:ptCount val="21"/>
                      <c:pt idx="0">
                        <c:v>2160.3850819700001</c:v>
                      </c:pt>
                      <c:pt idx="1">
                        <c:v>2005.25106557</c:v>
                      </c:pt>
                      <c:pt idx="2">
                        <c:v>1385.1624096400001</c:v>
                      </c:pt>
                      <c:pt idx="3">
                        <c:v>1110.37350649</c:v>
                      </c:pt>
                      <c:pt idx="4">
                        <c:v>1082.4376785699999</c:v>
                      </c:pt>
                      <c:pt idx="5">
                        <c:v>1322.06282609</c:v>
                      </c:pt>
                      <c:pt idx="6">
                        <c:v>3487.4157500000001</c:v>
                      </c:pt>
                      <c:pt idx="7">
                        <c:v>1608.74864865</c:v>
                      </c:pt>
                      <c:pt idx="8">
                        <c:v>1844.47</c:v>
                      </c:pt>
                      <c:pt idx="9">
                        <c:v>859.76607143000001</c:v>
                      </c:pt>
                      <c:pt idx="10">
                        <c:v>596.61249999999995</c:v>
                      </c:pt>
                      <c:pt idx="11">
                        <c:v>844.86478261000002</c:v>
                      </c:pt>
                      <c:pt idx="12">
                        <c:v>899.02045454999995</c:v>
                      </c:pt>
                      <c:pt idx="13">
                        <c:v>3016.7047368399999</c:v>
                      </c:pt>
                      <c:pt idx="14">
                        <c:v>1849.20947368</c:v>
                      </c:pt>
                      <c:pt idx="15">
                        <c:v>1932.34722222</c:v>
                      </c:pt>
                      <c:pt idx="16">
                        <c:v>1828.8611111099999</c:v>
                      </c:pt>
                      <c:pt idx="17">
                        <c:v>507.44375000000002</c:v>
                      </c:pt>
                      <c:pt idx="18">
                        <c:v>959.12692307999998</c:v>
                      </c:pt>
                      <c:pt idx="19">
                        <c:v>504.56428570999998</c:v>
                      </c:pt>
                      <c:pt idx="20">
                        <c:v>955.85833333000005</c:v>
                      </c:pt>
                    </c:numCache>
                  </c:numRef>
                </c:val>
                <c:extLst xmlns:c15="http://schemas.microsoft.com/office/drawing/2012/chart">
                  <c:ext xmlns:c16="http://schemas.microsoft.com/office/drawing/2014/chart" uri="{C3380CC4-5D6E-409C-BE32-E72D297353CC}">
                    <c16:uniqueId val="{00000003-4196-45EC-AA9E-A0686B817911}"/>
                  </c:ext>
                </c:extLst>
              </c15:ser>
            </c15:filteredBarSeries>
          </c:ext>
        </c:extLst>
      </c:barChart>
      <c:catAx>
        <c:axId val="104962446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86610223"/>
        <c:crosses val="autoZero"/>
        <c:auto val="1"/>
        <c:lblAlgn val="ctr"/>
        <c:lblOffset val="100"/>
        <c:noMultiLvlLbl val="0"/>
      </c:catAx>
      <c:valAx>
        <c:axId val="12866102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49624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Project.xlsx]EDA-3!PivotTable3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Preferred</a:t>
            </a:r>
            <a:r>
              <a:rPr lang="en-US" baseline="0"/>
              <a:t> Category</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pieChart>
        <c:varyColors val="1"/>
        <c:ser>
          <c:idx val="0"/>
          <c:order val="0"/>
          <c:tx>
            <c:strRef>
              <c:f>'EDA-3'!$N$7</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A94-4EDB-8D6F-87E58242EA3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A94-4EDB-8D6F-87E58242EA37}"/>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A94-4EDB-8D6F-87E58242EA37}"/>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A94-4EDB-8D6F-87E58242EA37}"/>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A94-4EDB-8D6F-87E58242EA37}"/>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A94-4EDB-8D6F-87E58242EA37}"/>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1A94-4EDB-8D6F-87E58242EA37}"/>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1A94-4EDB-8D6F-87E58242EA3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'EDA-3'!$M$8:$M$16</c:f>
              <c:strCache>
                <c:ptCount val="8"/>
                <c:pt idx="0">
                  <c:v>Dairy Products</c:v>
                </c:pt>
                <c:pt idx="1">
                  <c:v>Beverages</c:v>
                </c:pt>
                <c:pt idx="2">
                  <c:v>Meat/Poultry</c:v>
                </c:pt>
                <c:pt idx="3">
                  <c:v>Confections</c:v>
                </c:pt>
                <c:pt idx="4">
                  <c:v>Condiments</c:v>
                </c:pt>
                <c:pt idx="5">
                  <c:v>Seafood</c:v>
                </c:pt>
                <c:pt idx="6">
                  <c:v>Produce</c:v>
                </c:pt>
                <c:pt idx="7">
                  <c:v>Grains/Cereals</c:v>
                </c:pt>
              </c:strCache>
            </c:strRef>
          </c:cat>
          <c:val>
            <c:numRef>
              <c:f>'EDA-3'!$N$8:$N$16</c:f>
              <c:numCache>
                <c:formatCode>General</c:formatCode>
                <c:ptCount val="8"/>
                <c:pt idx="0">
                  <c:v>230</c:v>
                </c:pt>
                <c:pt idx="1">
                  <c:v>223</c:v>
                </c:pt>
                <c:pt idx="2">
                  <c:v>143</c:v>
                </c:pt>
                <c:pt idx="3">
                  <c:v>91</c:v>
                </c:pt>
                <c:pt idx="4">
                  <c:v>62</c:v>
                </c:pt>
                <c:pt idx="5">
                  <c:v>42</c:v>
                </c:pt>
                <c:pt idx="6">
                  <c:v>26</c:v>
                </c:pt>
                <c:pt idx="7">
                  <c:v>13</c:v>
                </c:pt>
              </c:numCache>
            </c:numRef>
          </c:val>
          <c:extLst>
            <c:ext xmlns:c16="http://schemas.microsoft.com/office/drawing/2014/chart" uri="{C3380CC4-5D6E-409C-BE32-E72D297353CC}">
              <c16:uniqueId val="{00000010-1A94-4EDB-8D6F-87E58242EA37}"/>
            </c:ext>
          </c:extLst>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Project.xlsx]EDA-3!PivotTable2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Order</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'EDA-3'!$K$7</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'EDA-3'!$J$8:$J$97</c:f>
              <c:strCache>
                <c:ptCount val="89"/>
                <c:pt idx="0">
                  <c:v>SAVEA</c:v>
                </c:pt>
                <c:pt idx="1">
                  <c:v>ERNSH</c:v>
                </c:pt>
                <c:pt idx="2">
                  <c:v>QUICK</c:v>
                </c:pt>
                <c:pt idx="3">
                  <c:v>HUNGO</c:v>
                </c:pt>
                <c:pt idx="4">
                  <c:v>FOLKO</c:v>
                </c:pt>
                <c:pt idx="5">
                  <c:v>RATTC</c:v>
                </c:pt>
                <c:pt idx="6">
                  <c:v>BERGS</c:v>
                </c:pt>
                <c:pt idx="7">
                  <c:v>HILAA</c:v>
                </c:pt>
                <c:pt idx="8">
                  <c:v>BONAP</c:v>
                </c:pt>
                <c:pt idx="9">
                  <c:v>FRANK</c:v>
                </c:pt>
                <c:pt idx="10">
                  <c:v>WARTH</c:v>
                </c:pt>
                <c:pt idx="11">
                  <c:v>LEHMS</c:v>
                </c:pt>
                <c:pt idx="12">
                  <c:v>HANAR</c:v>
                </c:pt>
                <c:pt idx="13">
                  <c:v>WHITC</c:v>
                </c:pt>
                <c:pt idx="14">
                  <c:v>LAMAI</c:v>
                </c:pt>
                <c:pt idx="15">
                  <c:v>BOTTM</c:v>
                </c:pt>
                <c:pt idx="16">
                  <c:v>KOENE</c:v>
                </c:pt>
                <c:pt idx="17">
                  <c:v>LILAS</c:v>
                </c:pt>
                <c:pt idx="18">
                  <c:v>AROUT</c:v>
                </c:pt>
                <c:pt idx="19">
                  <c:v>QUEEN</c:v>
                </c:pt>
                <c:pt idx="20">
                  <c:v>MEREP</c:v>
                </c:pt>
                <c:pt idx="21">
                  <c:v>REGGC</c:v>
                </c:pt>
                <c:pt idx="22">
                  <c:v>SUPRD</c:v>
                </c:pt>
                <c:pt idx="23">
                  <c:v>LINOD</c:v>
                </c:pt>
                <c:pt idx="24">
                  <c:v>GREAL</c:v>
                </c:pt>
                <c:pt idx="25">
                  <c:v>VAFFE</c:v>
                </c:pt>
                <c:pt idx="26">
                  <c:v>BLONP</c:v>
                </c:pt>
                <c:pt idx="27">
                  <c:v>RICAR</c:v>
                </c:pt>
                <c:pt idx="28">
                  <c:v>BSBEV</c:v>
                </c:pt>
                <c:pt idx="29">
                  <c:v>GODOS</c:v>
                </c:pt>
                <c:pt idx="30">
                  <c:v>ISLAT</c:v>
                </c:pt>
                <c:pt idx="31">
                  <c:v>RICSU</c:v>
                </c:pt>
                <c:pt idx="32">
                  <c:v>MAGAA</c:v>
                </c:pt>
                <c:pt idx="33">
                  <c:v>TORTU</c:v>
                </c:pt>
                <c:pt idx="34">
                  <c:v>WANDK</c:v>
                </c:pt>
                <c:pt idx="35">
                  <c:v>VICTE</c:v>
                </c:pt>
                <c:pt idx="36">
                  <c:v>OTTIK</c:v>
                </c:pt>
                <c:pt idx="37">
                  <c:v>PICCO</c:v>
                </c:pt>
                <c:pt idx="38">
                  <c:v>OLDWO</c:v>
                </c:pt>
                <c:pt idx="39">
                  <c:v>QUEDE</c:v>
                </c:pt>
                <c:pt idx="40">
                  <c:v>GOURL</c:v>
                </c:pt>
                <c:pt idx="41">
                  <c:v>SEVES</c:v>
                </c:pt>
                <c:pt idx="42">
                  <c:v>SPLIR</c:v>
                </c:pt>
                <c:pt idx="43">
                  <c:v>WELLI</c:v>
                </c:pt>
                <c:pt idx="44">
                  <c:v>FURIB</c:v>
                </c:pt>
                <c:pt idx="45">
                  <c:v>LONEP</c:v>
                </c:pt>
                <c:pt idx="46">
                  <c:v>EASTC</c:v>
                </c:pt>
                <c:pt idx="47">
                  <c:v>CHOPS</c:v>
                </c:pt>
                <c:pt idx="48">
                  <c:v>WOLZA</c:v>
                </c:pt>
                <c:pt idx="49">
                  <c:v>SIMOB</c:v>
                </c:pt>
                <c:pt idx="50">
                  <c:v>BLAUS</c:v>
                </c:pt>
                <c:pt idx="51">
                  <c:v>MAISD</c:v>
                </c:pt>
                <c:pt idx="52">
                  <c:v>FAMIA</c:v>
                </c:pt>
                <c:pt idx="53">
                  <c:v>WILMK</c:v>
                </c:pt>
                <c:pt idx="54">
                  <c:v>ANTON</c:v>
                </c:pt>
                <c:pt idx="55">
                  <c:v>TRADH</c:v>
                </c:pt>
                <c:pt idx="56">
                  <c:v>TOMSP</c:v>
                </c:pt>
                <c:pt idx="57">
                  <c:v>PERIC</c:v>
                </c:pt>
                <c:pt idx="58">
                  <c:v>DRACD</c:v>
                </c:pt>
                <c:pt idx="59">
                  <c:v>SANTG</c:v>
                </c:pt>
                <c:pt idx="60">
                  <c:v>FRANS</c:v>
                </c:pt>
                <c:pt idx="61">
                  <c:v>ALFKI</c:v>
                </c:pt>
                <c:pt idx="62">
                  <c:v>CACTU</c:v>
                </c:pt>
                <c:pt idx="63">
                  <c:v>VINET</c:v>
                </c:pt>
                <c:pt idx="64">
                  <c:v>MORGK</c:v>
                </c:pt>
                <c:pt idx="65">
                  <c:v>COMMI</c:v>
                </c:pt>
                <c:pt idx="66">
                  <c:v>ROMEY</c:v>
                </c:pt>
                <c:pt idx="67">
                  <c:v>FOLIG</c:v>
                </c:pt>
                <c:pt idx="68">
                  <c:v>GALED</c:v>
                </c:pt>
                <c:pt idx="69">
                  <c:v>RANCH</c:v>
                </c:pt>
                <c:pt idx="70">
                  <c:v>PRINI</c:v>
                </c:pt>
                <c:pt idx="71">
                  <c:v>HUNGC</c:v>
                </c:pt>
                <c:pt idx="72">
                  <c:v>OCEAN</c:v>
                </c:pt>
                <c:pt idx="73">
                  <c:v>DUMON</c:v>
                </c:pt>
                <c:pt idx="74">
                  <c:v>THEBI</c:v>
                </c:pt>
                <c:pt idx="75">
                  <c:v>LACOR</c:v>
                </c:pt>
                <c:pt idx="76">
                  <c:v>LETSS</c:v>
                </c:pt>
                <c:pt idx="77">
                  <c:v>SPECD</c:v>
                </c:pt>
                <c:pt idx="78">
                  <c:v>ANATR</c:v>
                </c:pt>
                <c:pt idx="79">
                  <c:v>CONSH</c:v>
                </c:pt>
                <c:pt idx="80">
                  <c:v>FRANR</c:v>
                </c:pt>
                <c:pt idx="81">
                  <c:v>NORTS</c:v>
                </c:pt>
                <c:pt idx="82">
                  <c:v>LAUGB</c:v>
                </c:pt>
                <c:pt idx="83">
                  <c:v>TRAIH</c:v>
                </c:pt>
                <c:pt idx="84">
                  <c:v>BOLID</c:v>
                </c:pt>
                <c:pt idx="85">
                  <c:v>THECR</c:v>
                </c:pt>
                <c:pt idx="86">
                  <c:v>LAZYK</c:v>
                </c:pt>
                <c:pt idx="87">
                  <c:v>GROSR</c:v>
                </c:pt>
                <c:pt idx="88">
                  <c:v>CENTC</c:v>
                </c:pt>
              </c:strCache>
            </c:strRef>
          </c:cat>
          <c:val>
            <c:numRef>
              <c:f>'EDA-3'!$K$8:$K$97</c:f>
              <c:numCache>
                <c:formatCode>General</c:formatCode>
                <c:ptCount val="89"/>
                <c:pt idx="0">
                  <c:v>31</c:v>
                </c:pt>
                <c:pt idx="1">
                  <c:v>30</c:v>
                </c:pt>
                <c:pt idx="2">
                  <c:v>28</c:v>
                </c:pt>
                <c:pt idx="3">
                  <c:v>19</c:v>
                </c:pt>
                <c:pt idx="4">
                  <c:v>19</c:v>
                </c:pt>
                <c:pt idx="5">
                  <c:v>18</c:v>
                </c:pt>
                <c:pt idx="6">
                  <c:v>18</c:v>
                </c:pt>
                <c:pt idx="7">
                  <c:v>18</c:v>
                </c:pt>
                <c:pt idx="8">
                  <c:v>17</c:v>
                </c:pt>
                <c:pt idx="9">
                  <c:v>15</c:v>
                </c:pt>
                <c:pt idx="10">
                  <c:v>15</c:v>
                </c:pt>
                <c:pt idx="11">
                  <c:v>15</c:v>
                </c:pt>
                <c:pt idx="12">
                  <c:v>14</c:v>
                </c:pt>
                <c:pt idx="13">
                  <c:v>14</c:v>
                </c:pt>
                <c:pt idx="14">
                  <c:v>14</c:v>
                </c:pt>
                <c:pt idx="15">
                  <c:v>14</c:v>
                </c:pt>
                <c:pt idx="16">
                  <c:v>14</c:v>
                </c:pt>
                <c:pt idx="17">
                  <c:v>14</c:v>
                </c:pt>
                <c:pt idx="18">
                  <c:v>13</c:v>
                </c:pt>
                <c:pt idx="19">
                  <c:v>13</c:v>
                </c:pt>
                <c:pt idx="20">
                  <c:v>13</c:v>
                </c:pt>
                <c:pt idx="21">
                  <c:v>12</c:v>
                </c:pt>
                <c:pt idx="22">
                  <c:v>12</c:v>
                </c:pt>
                <c:pt idx="23">
                  <c:v>12</c:v>
                </c:pt>
                <c:pt idx="24">
                  <c:v>11</c:v>
                </c:pt>
                <c:pt idx="25">
                  <c:v>11</c:v>
                </c:pt>
                <c:pt idx="26">
                  <c:v>11</c:v>
                </c:pt>
                <c:pt idx="27">
                  <c:v>11</c:v>
                </c:pt>
                <c:pt idx="28">
                  <c:v>10</c:v>
                </c:pt>
                <c:pt idx="29">
                  <c:v>10</c:v>
                </c:pt>
                <c:pt idx="30">
                  <c:v>10</c:v>
                </c:pt>
                <c:pt idx="31">
                  <c:v>10</c:v>
                </c:pt>
                <c:pt idx="32">
                  <c:v>10</c:v>
                </c:pt>
                <c:pt idx="33">
                  <c:v>10</c:v>
                </c:pt>
                <c:pt idx="34">
                  <c:v>10</c:v>
                </c:pt>
                <c:pt idx="35">
                  <c:v>10</c:v>
                </c:pt>
                <c:pt idx="36">
                  <c:v>10</c:v>
                </c:pt>
                <c:pt idx="37">
                  <c:v>10</c:v>
                </c:pt>
                <c:pt idx="38">
                  <c:v>10</c:v>
                </c:pt>
                <c:pt idx="39">
                  <c:v>9</c:v>
                </c:pt>
                <c:pt idx="40">
                  <c:v>9</c:v>
                </c:pt>
                <c:pt idx="41">
                  <c:v>9</c:v>
                </c:pt>
                <c:pt idx="42">
                  <c:v>9</c:v>
                </c:pt>
                <c:pt idx="43">
                  <c:v>9</c:v>
                </c:pt>
                <c:pt idx="44">
                  <c:v>8</c:v>
                </c:pt>
                <c:pt idx="45">
                  <c:v>8</c:v>
                </c:pt>
                <c:pt idx="46">
                  <c:v>8</c:v>
                </c:pt>
                <c:pt idx="47">
                  <c:v>8</c:v>
                </c:pt>
                <c:pt idx="48">
                  <c:v>7</c:v>
                </c:pt>
                <c:pt idx="49">
                  <c:v>7</c:v>
                </c:pt>
                <c:pt idx="50">
                  <c:v>7</c:v>
                </c:pt>
                <c:pt idx="51">
                  <c:v>7</c:v>
                </c:pt>
                <c:pt idx="52">
                  <c:v>7</c:v>
                </c:pt>
                <c:pt idx="53">
                  <c:v>7</c:v>
                </c:pt>
                <c:pt idx="54">
                  <c:v>7</c:v>
                </c:pt>
                <c:pt idx="55">
                  <c:v>6</c:v>
                </c:pt>
                <c:pt idx="56">
                  <c:v>6</c:v>
                </c:pt>
                <c:pt idx="57">
                  <c:v>6</c:v>
                </c:pt>
                <c:pt idx="58">
                  <c:v>6</c:v>
                </c:pt>
                <c:pt idx="59">
                  <c:v>6</c:v>
                </c:pt>
                <c:pt idx="60">
                  <c:v>6</c:v>
                </c:pt>
                <c:pt idx="61">
                  <c:v>6</c:v>
                </c:pt>
                <c:pt idx="62">
                  <c:v>6</c:v>
                </c:pt>
                <c:pt idx="63">
                  <c:v>5</c:v>
                </c:pt>
                <c:pt idx="64">
                  <c:v>5</c:v>
                </c:pt>
                <c:pt idx="65">
                  <c:v>5</c:v>
                </c:pt>
                <c:pt idx="66">
                  <c:v>5</c:v>
                </c:pt>
                <c:pt idx="67">
                  <c:v>5</c:v>
                </c:pt>
                <c:pt idx="68">
                  <c:v>5</c:v>
                </c:pt>
                <c:pt idx="69">
                  <c:v>5</c:v>
                </c:pt>
                <c:pt idx="70">
                  <c:v>5</c:v>
                </c:pt>
                <c:pt idx="71">
                  <c:v>5</c:v>
                </c:pt>
                <c:pt idx="72">
                  <c:v>5</c:v>
                </c:pt>
                <c:pt idx="73">
                  <c:v>4</c:v>
                </c:pt>
                <c:pt idx="74">
                  <c:v>4</c:v>
                </c:pt>
                <c:pt idx="75">
                  <c:v>4</c:v>
                </c:pt>
                <c:pt idx="76">
                  <c:v>4</c:v>
                </c:pt>
                <c:pt idx="77">
                  <c:v>4</c:v>
                </c:pt>
                <c:pt idx="78">
                  <c:v>4</c:v>
                </c:pt>
                <c:pt idx="79">
                  <c:v>3</c:v>
                </c:pt>
                <c:pt idx="80">
                  <c:v>3</c:v>
                </c:pt>
                <c:pt idx="81">
                  <c:v>3</c:v>
                </c:pt>
                <c:pt idx="82">
                  <c:v>3</c:v>
                </c:pt>
                <c:pt idx="83">
                  <c:v>3</c:v>
                </c:pt>
                <c:pt idx="84">
                  <c:v>3</c:v>
                </c:pt>
                <c:pt idx="85">
                  <c:v>3</c:v>
                </c:pt>
                <c:pt idx="86">
                  <c:v>2</c:v>
                </c:pt>
                <c:pt idx="87">
                  <c:v>2</c:v>
                </c:pt>
                <c:pt idx="88">
                  <c:v>1</c:v>
                </c:pt>
              </c:numCache>
            </c:numRef>
          </c:val>
          <c:extLst>
            <c:ext xmlns:c16="http://schemas.microsoft.com/office/drawing/2014/chart" uri="{C3380CC4-5D6E-409C-BE32-E72D297353CC}">
              <c16:uniqueId val="{00000000-C289-4E78-B32E-F91E222CDF6C}"/>
            </c:ext>
          </c:extLst>
        </c:ser>
        <c:dLbls>
          <c:showLegendKey val="0"/>
          <c:showVal val="0"/>
          <c:showCatName val="0"/>
          <c:showSerName val="0"/>
          <c:showPercent val="0"/>
          <c:showBubbleSize val="0"/>
        </c:dLbls>
        <c:gapWidth val="100"/>
        <c:overlap val="-24"/>
        <c:axId val="1332126096"/>
        <c:axId val="1332128016"/>
      </c:barChart>
      <c:catAx>
        <c:axId val="133212609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2128016"/>
        <c:crosses val="autoZero"/>
        <c:auto val="1"/>
        <c:lblAlgn val="ctr"/>
        <c:lblOffset val="100"/>
        <c:noMultiLvlLbl val="0"/>
      </c:catAx>
      <c:valAx>
        <c:axId val="13321280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321260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Project.xlsx]EDA-4!PivotTable4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Order_revenue by Category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'EDA-4'!$K$7</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0A08-4191-9612-C13E232E6A7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0A08-4191-9612-C13E232E6A77}"/>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0A08-4191-9612-C13E232E6A77}"/>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0A08-4191-9612-C13E232E6A77}"/>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9-0A08-4191-9612-C13E232E6A77}"/>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B-0A08-4191-9612-C13E232E6A77}"/>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D-0A08-4191-9612-C13E232E6A77}"/>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F-0A08-4191-9612-C13E232E6A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'EDA-4'!$J$8:$J$16</c:f>
              <c:strCache>
                <c:ptCount val="8"/>
                <c:pt idx="0">
                  <c:v>Beverages</c:v>
                </c:pt>
                <c:pt idx="1">
                  <c:v>Dairy Products</c:v>
                </c:pt>
                <c:pt idx="2">
                  <c:v>Meat/Poultry</c:v>
                </c:pt>
                <c:pt idx="3">
                  <c:v>Confections</c:v>
                </c:pt>
                <c:pt idx="4">
                  <c:v>Seafood</c:v>
                </c:pt>
                <c:pt idx="5">
                  <c:v>Condiments</c:v>
                </c:pt>
                <c:pt idx="6">
                  <c:v>Produce</c:v>
                </c:pt>
                <c:pt idx="7">
                  <c:v>Grains/Cereals</c:v>
                </c:pt>
              </c:strCache>
            </c:strRef>
          </c:cat>
          <c:val>
            <c:numRef>
              <c:f>'EDA-4'!$K$8:$K$16</c:f>
              <c:numCache>
                <c:formatCode>General</c:formatCode>
                <c:ptCount val="8"/>
                <c:pt idx="0">
                  <c:v>286501.94999961258</c:v>
                </c:pt>
                <c:pt idx="1">
                  <c:v>251310.93999969587</c:v>
                </c:pt>
                <c:pt idx="2">
                  <c:v>178177.64999987109</c:v>
                </c:pt>
                <c:pt idx="3">
                  <c:v>177080.07999971177</c:v>
                </c:pt>
                <c:pt idx="4">
                  <c:v>141603.20999972353</c:v>
                </c:pt>
                <c:pt idx="5">
                  <c:v>113683.37999980897</c:v>
                </c:pt>
                <c:pt idx="6">
                  <c:v>105262.41999990157</c:v>
                </c:pt>
                <c:pt idx="7">
                  <c:v>100717.91999986878</c:v>
                </c:pt>
              </c:numCache>
            </c:numRef>
          </c:val>
          <c:extLst>
            <c:ext xmlns:c16="http://schemas.microsoft.com/office/drawing/2014/chart" uri="{C3380CC4-5D6E-409C-BE32-E72D297353CC}">
              <c16:uniqueId val="{00000010-0A08-4191-9612-C13E232E6A77}"/>
            </c:ext>
          </c:extLst>
        </c:ser>
        <c:dLbls>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Project.xlsx]EDA-4!PivotTable3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Order_revenue by </a:t>
            </a:r>
            <a:r>
              <a:rPr lang="en-IN"/>
              <a:t>Product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'EDA-4'!$H$7</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'EDA-4'!$G$8:$G$85</c:f>
              <c:strCache>
                <c:ptCount val="77"/>
                <c:pt idx="0">
                  <c:v>Côte de Blaye</c:v>
                </c:pt>
                <c:pt idx="1">
                  <c:v>Thüringer Rostbratwurst</c:v>
                </c:pt>
                <c:pt idx="2">
                  <c:v>Raclette Courdavault</c:v>
                </c:pt>
                <c:pt idx="3">
                  <c:v>Camembert Pierrot</c:v>
                </c:pt>
                <c:pt idx="4">
                  <c:v>Tarte au sucre</c:v>
                </c:pt>
                <c:pt idx="5">
                  <c:v>Gnocchi di nonna Alice</c:v>
                </c:pt>
                <c:pt idx="6">
                  <c:v>Manjimup Dried Apples</c:v>
                </c:pt>
                <c:pt idx="7">
                  <c:v>Alice Mutton</c:v>
                </c:pt>
                <c:pt idx="8">
                  <c:v>Carnarvon Tigers</c:v>
                </c:pt>
                <c:pt idx="9">
                  <c:v>Rössle Sauerkraut</c:v>
                </c:pt>
                <c:pt idx="10">
                  <c:v>Mozzarella di Giovanni</c:v>
                </c:pt>
                <c:pt idx="11">
                  <c:v>Ipoh Coffee</c:v>
                </c:pt>
                <c:pt idx="12">
                  <c:v>Gudbrandsdalsost</c:v>
                </c:pt>
                <c:pt idx="13">
                  <c:v>Sir Rodney's Marmalade</c:v>
                </c:pt>
                <c:pt idx="14">
                  <c:v>Wimmers gute Semmelknödel</c:v>
                </c:pt>
                <c:pt idx="15">
                  <c:v>Uncle Bob's Organic Dried Pears</c:v>
                </c:pt>
                <c:pt idx="16">
                  <c:v>Ikura</c:v>
                </c:pt>
                <c:pt idx="17">
                  <c:v>Gumbär Gummibärchen</c:v>
                </c:pt>
                <c:pt idx="18">
                  <c:v>Perth Pasties</c:v>
                </c:pt>
                <c:pt idx="19">
                  <c:v>Fløtemysost</c:v>
                </c:pt>
                <c:pt idx="20">
                  <c:v>Pâté chinois</c:v>
                </c:pt>
                <c:pt idx="21">
                  <c:v>Boston Crab Meat</c:v>
                </c:pt>
                <c:pt idx="22">
                  <c:v>Pavlova</c:v>
                </c:pt>
                <c:pt idx="23">
                  <c:v>Chang</c:v>
                </c:pt>
                <c:pt idx="24">
                  <c:v>Vegie-spread</c:v>
                </c:pt>
                <c:pt idx="25">
                  <c:v>Lakkalikööri</c:v>
                </c:pt>
                <c:pt idx="26">
                  <c:v>Sirop d'érable</c:v>
                </c:pt>
                <c:pt idx="27">
                  <c:v>Gorgonzola Telino</c:v>
                </c:pt>
                <c:pt idx="28">
                  <c:v>Schoggi Schokolade</c:v>
                </c:pt>
                <c:pt idx="29">
                  <c:v>Nord-Ost Matjeshering</c:v>
                </c:pt>
                <c:pt idx="30">
                  <c:v>Louisiana Fiery Hot Pepper Sauce</c:v>
                </c:pt>
                <c:pt idx="31">
                  <c:v>Inlagd Sill</c:v>
                </c:pt>
                <c:pt idx="32">
                  <c:v>Steeleye Stout</c:v>
                </c:pt>
                <c:pt idx="33">
                  <c:v>Chai</c:v>
                </c:pt>
                <c:pt idx="34">
                  <c:v>Queso Cabrales</c:v>
                </c:pt>
                <c:pt idx="35">
                  <c:v>Northwoods Cranberry Sauce</c:v>
                </c:pt>
                <c:pt idx="36">
                  <c:v>Chartreuse verte</c:v>
                </c:pt>
                <c:pt idx="37">
                  <c:v>Queso Manchego La Pastora</c:v>
                </c:pt>
                <c:pt idx="38">
                  <c:v>Outback Lager</c:v>
                </c:pt>
                <c:pt idx="39">
                  <c:v>Gula Malacca</c:v>
                </c:pt>
                <c:pt idx="40">
                  <c:v>Original Frankfurter grüne Soße</c:v>
                </c:pt>
                <c:pt idx="41">
                  <c:v>Sir Rodney's Scones</c:v>
                </c:pt>
                <c:pt idx="42">
                  <c:v>Maxilaku</c:v>
                </c:pt>
                <c:pt idx="43">
                  <c:v>Chef Anton's Cajun Seasoning</c:v>
                </c:pt>
                <c:pt idx="44">
                  <c:v>Scottish Longbreads</c:v>
                </c:pt>
                <c:pt idx="45">
                  <c:v>Singaporean Hokkien Fried Mee</c:v>
                </c:pt>
                <c:pt idx="46">
                  <c:v>Mascarpone Fabioli</c:v>
                </c:pt>
                <c:pt idx="47">
                  <c:v>Jack's New England Clam Chowder</c:v>
                </c:pt>
                <c:pt idx="48">
                  <c:v>Mishi Kobe Niku</c:v>
                </c:pt>
                <c:pt idx="49">
                  <c:v>Rhönbräu Klosterbier</c:v>
                </c:pt>
                <c:pt idx="50">
                  <c:v>Tofu</c:v>
                </c:pt>
                <c:pt idx="51">
                  <c:v>Ravioli Angelo</c:v>
                </c:pt>
                <c:pt idx="52">
                  <c:v>Grandma's Boysenberry Spread</c:v>
                </c:pt>
                <c:pt idx="53">
                  <c:v>Gustaf's Knäckebröd</c:v>
                </c:pt>
                <c:pt idx="54">
                  <c:v>Sasquatch Ale</c:v>
                </c:pt>
                <c:pt idx="55">
                  <c:v>Escargots de Bourgogne</c:v>
                </c:pt>
                <c:pt idx="56">
                  <c:v>Teatime Chocolate Biscuits</c:v>
                </c:pt>
                <c:pt idx="57">
                  <c:v>Spegesild</c:v>
                </c:pt>
                <c:pt idx="58">
                  <c:v>Chef Anton's Gumbo Mix</c:v>
                </c:pt>
                <c:pt idx="59">
                  <c:v>Konbu</c:v>
                </c:pt>
                <c:pt idx="60">
                  <c:v>Tourtière</c:v>
                </c:pt>
                <c:pt idx="61">
                  <c:v>Tunnbröd</c:v>
                </c:pt>
                <c:pt idx="62">
                  <c:v>Guaraná Fantástica</c:v>
                </c:pt>
                <c:pt idx="63">
                  <c:v>Røgede sild</c:v>
                </c:pt>
                <c:pt idx="64">
                  <c:v>Zaanse koeken</c:v>
                </c:pt>
                <c:pt idx="65">
                  <c:v>Röd Kaviar</c:v>
                </c:pt>
                <c:pt idx="66">
                  <c:v>NuNuCa Nuß-Nougat-Creme</c:v>
                </c:pt>
                <c:pt idx="67">
                  <c:v>Louisiana Hot Spiced Okra</c:v>
                </c:pt>
                <c:pt idx="68">
                  <c:v>Valkoinen suklaa</c:v>
                </c:pt>
                <c:pt idx="69">
                  <c:v>Filo Mix</c:v>
                </c:pt>
                <c:pt idx="70">
                  <c:v>Aniseed Syrup</c:v>
                </c:pt>
                <c:pt idx="71">
                  <c:v>Gravad lax</c:v>
                </c:pt>
                <c:pt idx="72">
                  <c:v>Longlife Tofu</c:v>
                </c:pt>
                <c:pt idx="73">
                  <c:v>Laughing Lumberjack Lager</c:v>
                </c:pt>
                <c:pt idx="74">
                  <c:v>Genen Shouyu</c:v>
                </c:pt>
                <c:pt idx="75">
                  <c:v>Geitost</c:v>
                </c:pt>
                <c:pt idx="76">
                  <c:v>Chocolade</c:v>
                </c:pt>
              </c:strCache>
            </c:strRef>
          </c:cat>
          <c:val>
            <c:numRef>
              <c:f>'EDA-4'!$H$8:$H$85</c:f>
              <c:numCache>
                <c:formatCode>General</c:formatCode>
                <c:ptCount val="77"/>
                <c:pt idx="0">
                  <c:v>149983.09999998735</c:v>
                </c:pt>
                <c:pt idx="1">
                  <c:v>87734.349999988073</c:v>
                </c:pt>
                <c:pt idx="2">
                  <c:v>76293.449999947101</c:v>
                </c:pt>
                <c:pt idx="3">
                  <c:v>50282.739999953657</c:v>
                </c:pt>
                <c:pt idx="4">
                  <c:v>49825.299999964991</c:v>
                </c:pt>
                <c:pt idx="5">
                  <c:v>45118.099999950078</c:v>
                </c:pt>
                <c:pt idx="6">
                  <c:v>44740.599999970196</c:v>
                </c:pt>
                <c:pt idx="7">
                  <c:v>35479.899999984351</c:v>
                </c:pt>
                <c:pt idx="8">
                  <c:v>31985.349999975413</c:v>
                </c:pt>
                <c:pt idx="9">
                  <c:v>26864.349999977647</c:v>
                </c:pt>
                <c:pt idx="10">
                  <c:v>25737.899999982863</c:v>
                </c:pt>
                <c:pt idx="11">
                  <c:v>25077.799999975414</c:v>
                </c:pt>
                <c:pt idx="12">
                  <c:v>24304.899999969453</c:v>
                </c:pt>
                <c:pt idx="13">
                  <c:v>23635.059999994191</c:v>
                </c:pt>
                <c:pt idx="14">
                  <c:v>23007.769999986514</c:v>
                </c:pt>
                <c:pt idx="15">
                  <c:v>22463.199999980628</c:v>
                </c:pt>
                <c:pt idx="16">
                  <c:v>22138.749999970943</c:v>
                </c:pt>
                <c:pt idx="17">
                  <c:v>21533.249999964235</c:v>
                </c:pt>
                <c:pt idx="18">
                  <c:v>21509.049999979139</c:v>
                </c:pt>
                <c:pt idx="19">
                  <c:v>20874.699999976903</c:v>
                </c:pt>
                <c:pt idx="20">
                  <c:v>19509.449999962002</c:v>
                </c:pt>
                <c:pt idx="21">
                  <c:v>19046.199999968707</c:v>
                </c:pt>
                <c:pt idx="22">
                  <c:v>18745.169999939579</c:v>
                </c:pt>
                <c:pt idx="23">
                  <c:v>18554.699999936671</c:v>
                </c:pt>
                <c:pt idx="24">
                  <c:v>17695.599999989568</c:v>
                </c:pt>
                <c:pt idx="25">
                  <c:v>16791.949999954551</c:v>
                </c:pt>
                <c:pt idx="26">
                  <c:v>16437.099999967217</c:v>
                </c:pt>
                <c:pt idx="27">
                  <c:v>16169.299999952316</c:v>
                </c:pt>
                <c:pt idx="28">
                  <c:v>15231.25</c:v>
                </c:pt>
                <c:pt idx="29">
                  <c:v>14772.939999987335</c:v>
                </c:pt>
                <c:pt idx="30">
                  <c:v>14605.449999965726</c:v>
                </c:pt>
                <c:pt idx="31">
                  <c:v>14540.149999978394</c:v>
                </c:pt>
                <c:pt idx="32">
                  <c:v>14535.099999970942</c:v>
                </c:pt>
                <c:pt idx="33">
                  <c:v>14274.649999956042</c:v>
                </c:pt>
                <c:pt idx="34">
                  <c:v>13899.849999979138</c:v>
                </c:pt>
                <c:pt idx="35">
                  <c:v>13759.149999983609</c:v>
                </c:pt>
                <c:pt idx="36">
                  <c:v>13148.799999962746</c:v>
                </c:pt>
                <c:pt idx="37">
                  <c:v>12865.899999982863</c:v>
                </c:pt>
                <c:pt idx="38">
                  <c:v>11469.549999970943</c:v>
                </c:pt>
                <c:pt idx="39">
                  <c:v>10522.749999970945</c:v>
                </c:pt>
                <c:pt idx="40">
                  <c:v>9683.0499999709427</c:v>
                </c:pt>
                <c:pt idx="41">
                  <c:v>9633.7999999634922</c:v>
                </c:pt>
                <c:pt idx="42">
                  <c:v>9499.3499999791384</c:v>
                </c:pt>
                <c:pt idx="43">
                  <c:v>9423.2999999813728</c:v>
                </c:pt>
                <c:pt idx="44">
                  <c:v>9360.4999999813735</c:v>
                </c:pt>
                <c:pt idx="45">
                  <c:v>9330.7499999716874</c:v>
                </c:pt>
                <c:pt idx="46">
                  <c:v>9170.0999999798842</c:v>
                </c:pt>
                <c:pt idx="47">
                  <c:v>9096.1999999754153</c:v>
                </c:pt>
                <c:pt idx="48">
                  <c:v>8826.4999999925494</c:v>
                </c:pt>
                <c:pt idx="49">
                  <c:v>8648.1499999605112</c:v>
                </c:pt>
                <c:pt idx="50">
                  <c:v>8628.9199999790635</c:v>
                </c:pt>
                <c:pt idx="51">
                  <c:v>7807.1499999940397</c:v>
                </c:pt>
                <c:pt idx="52">
                  <c:v>7344.6299999989569</c:v>
                </c:pt>
                <c:pt idx="53">
                  <c:v>7232.0999999992546</c:v>
                </c:pt>
                <c:pt idx="54">
                  <c:v>6677.0499999858439</c:v>
                </c:pt>
                <c:pt idx="55">
                  <c:v>6662.9499999769032</c:v>
                </c:pt>
                <c:pt idx="56">
                  <c:v>6157.4499999769014</c:v>
                </c:pt>
                <c:pt idx="57">
                  <c:v>6142.2799999751151</c:v>
                </c:pt>
                <c:pt idx="58">
                  <c:v>5800.3999999925491</c:v>
                </c:pt>
                <c:pt idx="59">
                  <c:v>5232.6999999597665</c:v>
                </c:pt>
                <c:pt idx="60">
                  <c:v>5118.3999999649823</c:v>
                </c:pt>
                <c:pt idx="61">
                  <c:v>4839.4499999888239</c:v>
                </c:pt>
                <c:pt idx="62">
                  <c:v>4779.6999999605123</c:v>
                </c:pt>
                <c:pt idx="63">
                  <c:v>4739.4499999769032</c:v>
                </c:pt>
                <c:pt idx="64">
                  <c:v>4357.0499999880794</c:v>
                </c:pt>
                <c:pt idx="65">
                  <c:v>4199.3399999830872</c:v>
                </c:pt>
                <c:pt idx="66">
                  <c:v>4050.0499999843537</c:v>
                </c:pt>
                <c:pt idx="67">
                  <c:v>3518.7499999925494</c:v>
                </c:pt>
                <c:pt idx="68">
                  <c:v>3509.7499999962747</c:v>
                </c:pt>
                <c:pt idx="69">
                  <c:v>3382.5999999783935</c:v>
                </c:pt>
                <c:pt idx="70">
                  <c:v>3079.7999999970198</c:v>
                </c:pt>
                <c:pt idx="71">
                  <c:v>3046.8999999955295</c:v>
                </c:pt>
                <c:pt idx="72">
                  <c:v>2565.3499999940395</c:v>
                </c:pt>
                <c:pt idx="73">
                  <c:v>2561.3999999910593</c:v>
                </c:pt>
                <c:pt idx="74">
                  <c:v>1813.3999999985099</c:v>
                </c:pt>
                <c:pt idx="75">
                  <c:v>1712.0999999716878</c:v>
                </c:pt>
                <c:pt idx="76">
                  <c:v>1542.0999999791384</c:v>
                </c:pt>
              </c:numCache>
            </c:numRef>
          </c:val>
          <c:extLst>
            <c:ext xmlns:c16="http://schemas.microsoft.com/office/drawing/2014/chart" uri="{C3380CC4-5D6E-409C-BE32-E72D297353CC}">
              <c16:uniqueId val="{00000000-4229-458C-95E7-C2A85FC1E5E4}"/>
            </c:ext>
          </c:extLst>
        </c:ser>
        <c:dLbls>
          <c:showLegendKey val="0"/>
          <c:showVal val="0"/>
          <c:showCatName val="0"/>
          <c:showSerName val="0"/>
          <c:showPercent val="0"/>
          <c:showBubbleSize val="0"/>
        </c:dLbls>
        <c:gapWidth val="100"/>
        <c:overlap val="-24"/>
        <c:axId val="448825903"/>
        <c:axId val="448830703"/>
      </c:barChart>
      <c:catAx>
        <c:axId val="4488259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8830703"/>
        <c:crosses val="autoZero"/>
        <c:auto val="1"/>
        <c:lblAlgn val="ctr"/>
        <c:lblOffset val="100"/>
        <c:noMultiLvlLbl val="0"/>
      </c:catAx>
      <c:valAx>
        <c:axId val="44883070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88259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Project.xlsx]EDA-5!PivotTable5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Order by Country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'EDA-5'!$G$19</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'EDA-5'!$F$20:$F$41</c:f>
              <c:strCache>
                <c:ptCount val="21"/>
                <c:pt idx="0">
                  <c:v>USA</c:v>
                </c:pt>
                <c:pt idx="1">
                  <c:v>Germany</c:v>
                </c:pt>
                <c:pt idx="2">
                  <c:v>Brazil</c:v>
                </c:pt>
                <c:pt idx="3">
                  <c:v>France</c:v>
                </c:pt>
                <c:pt idx="4">
                  <c:v>UK</c:v>
                </c:pt>
                <c:pt idx="5">
                  <c:v>Venezuela</c:v>
                </c:pt>
                <c:pt idx="6">
                  <c:v>Austria</c:v>
                </c:pt>
                <c:pt idx="7">
                  <c:v>Sweden</c:v>
                </c:pt>
                <c:pt idx="8">
                  <c:v>Canada</c:v>
                </c:pt>
                <c:pt idx="9">
                  <c:v>Mexico</c:v>
                </c:pt>
                <c:pt idx="10">
                  <c:v>Italy</c:v>
                </c:pt>
                <c:pt idx="11">
                  <c:v>Spain</c:v>
                </c:pt>
                <c:pt idx="12">
                  <c:v>Finland</c:v>
                </c:pt>
                <c:pt idx="13">
                  <c:v>Ireland</c:v>
                </c:pt>
                <c:pt idx="14">
                  <c:v>Belgium</c:v>
                </c:pt>
                <c:pt idx="15">
                  <c:v>Denmark</c:v>
                </c:pt>
                <c:pt idx="16">
                  <c:v>Switzerland</c:v>
                </c:pt>
                <c:pt idx="17">
                  <c:v>Argentina</c:v>
                </c:pt>
                <c:pt idx="18">
                  <c:v>Portugal</c:v>
                </c:pt>
                <c:pt idx="19">
                  <c:v>Poland</c:v>
                </c:pt>
                <c:pt idx="20">
                  <c:v>Norway</c:v>
                </c:pt>
              </c:strCache>
            </c:strRef>
          </c:cat>
          <c:val>
            <c:numRef>
              <c:f>'EDA-5'!$G$20:$G$41</c:f>
              <c:numCache>
                <c:formatCode>General</c:formatCode>
                <c:ptCount val="21"/>
                <c:pt idx="0">
                  <c:v>122</c:v>
                </c:pt>
                <c:pt idx="1">
                  <c:v>122</c:v>
                </c:pt>
                <c:pt idx="2">
                  <c:v>83</c:v>
                </c:pt>
                <c:pt idx="3">
                  <c:v>77</c:v>
                </c:pt>
                <c:pt idx="4">
                  <c:v>56</c:v>
                </c:pt>
                <c:pt idx="5">
                  <c:v>46</c:v>
                </c:pt>
                <c:pt idx="6">
                  <c:v>40</c:v>
                </c:pt>
                <c:pt idx="7">
                  <c:v>37</c:v>
                </c:pt>
                <c:pt idx="8">
                  <c:v>30</c:v>
                </c:pt>
                <c:pt idx="9">
                  <c:v>28</c:v>
                </c:pt>
                <c:pt idx="10">
                  <c:v>28</c:v>
                </c:pt>
                <c:pt idx="11">
                  <c:v>23</c:v>
                </c:pt>
                <c:pt idx="12">
                  <c:v>22</c:v>
                </c:pt>
                <c:pt idx="13">
                  <c:v>19</c:v>
                </c:pt>
                <c:pt idx="14">
                  <c:v>19</c:v>
                </c:pt>
                <c:pt idx="15">
                  <c:v>18</c:v>
                </c:pt>
                <c:pt idx="16">
                  <c:v>18</c:v>
                </c:pt>
                <c:pt idx="17">
                  <c:v>16</c:v>
                </c:pt>
                <c:pt idx="18">
                  <c:v>13</c:v>
                </c:pt>
                <c:pt idx="19">
                  <c:v>7</c:v>
                </c:pt>
                <c:pt idx="20">
                  <c:v>6</c:v>
                </c:pt>
              </c:numCache>
            </c:numRef>
          </c:val>
          <c:extLst>
            <c:ext xmlns:c16="http://schemas.microsoft.com/office/drawing/2014/chart" uri="{C3380CC4-5D6E-409C-BE32-E72D297353CC}">
              <c16:uniqueId val="{00000000-A8F7-4530-9B48-2ABB0B8E4E44}"/>
            </c:ext>
          </c:extLst>
        </c:ser>
        <c:dLbls>
          <c:dLblPos val="outEnd"/>
          <c:showLegendKey val="0"/>
          <c:showVal val="1"/>
          <c:showCatName val="0"/>
          <c:showSerName val="0"/>
          <c:showPercent val="0"/>
          <c:showBubbleSize val="0"/>
        </c:dLbls>
        <c:gapWidth val="100"/>
        <c:overlap val="-24"/>
        <c:axId val="72091424"/>
        <c:axId val="72092384"/>
      </c:barChart>
      <c:catAx>
        <c:axId val="7209142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092384"/>
        <c:crosses val="autoZero"/>
        <c:auto val="1"/>
        <c:lblAlgn val="ctr"/>
        <c:lblOffset val="100"/>
        <c:noMultiLvlLbl val="0"/>
      </c:catAx>
      <c:valAx>
        <c:axId val="7209238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0914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Capstone Project.xlsx]EDA-5!PivotTable6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Total Order by City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'EDA-5'!$J$19</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'EDA-5'!$I$20:$I$90</c:f>
              <c:strCache>
                <c:ptCount val="70"/>
                <c:pt idx="0">
                  <c:v>Rio de Janeiro</c:v>
                </c:pt>
                <c:pt idx="1">
                  <c:v>London</c:v>
                </c:pt>
                <c:pt idx="2">
                  <c:v>São Paulo</c:v>
                </c:pt>
                <c:pt idx="3">
                  <c:v>Boise</c:v>
                </c:pt>
                <c:pt idx="4">
                  <c:v>Graz</c:v>
                </c:pt>
                <c:pt idx="5">
                  <c:v>México D.F.</c:v>
                </c:pt>
                <c:pt idx="6">
                  <c:v>Cunewalde</c:v>
                </c:pt>
                <c:pt idx="7">
                  <c:v>Cork</c:v>
                </c:pt>
                <c:pt idx="8">
                  <c:v>Bräcke</c:v>
                </c:pt>
                <c:pt idx="9">
                  <c:v>San Cristóbal</c:v>
                </c:pt>
                <c:pt idx="10">
                  <c:v>Luleå</c:v>
                </c:pt>
                <c:pt idx="11">
                  <c:v>Albuquerque</c:v>
                </c:pt>
                <c:pt idx="12">
                  <c:v>Marseille</c:v>
                </c:pt>
                <c:pt idx="13">
                  <c:v>Buenos Aires</c:v>
                </c:pt>
                <c:pt idx="14">
                  <c:v>München</c:v>
                </c:pt>
                <c:pt idx="15">
                  <c:v>Frankfurt a.M. </c:v>
                </c:pt>
                <c:pt idx="16">
                  <c:v>Oulu</c:v>
                </c:pt>
                <c:pt idx="17">
                  <c:v>Barquisimeto</c:v>
                </c:pt>
                <c:pt idx="18">
                  <c:v>Seattle</c:v>
                </c:pt>
                <c:pt idx="19">
                  <c:v>Brandenburg</c:v>
                </c:pt>
                <c:pt idx="20">
                  <c:v>Tsawassen</c:v>
                </c:pt>
                <c:pt idx="21">
                  <c:v>Toulouse</c:v>
                </c:pt>
                <c:pt idx="22">
                  <c:v>Colchester</c:v>
                </c:pt>
                <c:pt idx="23">
                  <c:v>Montréal</c:v>
                </c:pt>
                <c:pt idx="24">
                  <c:v>Lisboa</c:v>
                </c:pt>
                <c:pt idx="25">
                  <c:v>Portland</c:v>
                </c:pt>
                <c:pt idx="26">
                  <c:v>Charleroi</c:v>
                </c:pt>
                <c:pt idx="27">
                  <c:v>Reggio Emilia</c:v>
                </c:pt>
                <c:pt idx="28">
                  <c:v>I. de Margarita</c:v>
                </c:pt>
                <c:pt idx="29">
                  <c:v>Eugene</c:v>
                </c:pt>
                <c:pt idx="30">
                  <c:v>Århus</c:v>
                </c:pt>
                <c:pt idx="31">
                  <c:v>Strasbourg</c:v>
                </c:pt>
                <c:pt idx="32">
                  <c:v>Bergamo</c:v>
                </c:pt>
                <c:pt idx="33">
                  <c:v>Cowes</c:v>
                </c:pt>
                <c:pt idx="34">
                  <c:v>Stuttgart</c:v>
                </c:pt>
                <c:pt idx="35">
                  <c:v>Sevilla</c:v>
                </c:pt>
                <c:pt idx="36">
                  <c:v>Genève</c:v>
                </c:pt>
                <c:pt idx="37">
                  <c:v>Anchorage</c:v>
                </c:pt>
                <c:pt idx="38">
                  <c:v>Lyon</c:v>
                </c:pt>
                <c:pt idx="39">
                  <c:v>Salzburg</c:v>
                </c:pt>
                <c:pt idx="40">
                  <c:v>Köln</c:v>
                </c:pt>
                <c:pt idx="41">
                  <c:v>Resende</c:v>
                </c:pt>
                <c:pt idx="42">
                  <c:v>Campinas</c:v>
                </c:pt>
                <c:pt idx="43">
                  <c:v>Lander</c:v>
                </c:pt>
                <c:pt idx="44">
                  <c:v>Bern</c:v>
                </c:pt>
                <c:pt idx="45">
                  <c:v>Madrid</c:v>
                </c:pt>
                <c:pt idx="46">
                  <c:v>Bruxelles</c:v>
                </c:pt>
                <c:pt idx="47">
                  <c:v>Helsinki</c:v>
                </c:pt>
                <c:pt idx="48">
                  <c:v>Warszawa</c:v>
                </c:pt>
                <c:pt idx="49">
                  <c:v>Nantes</c:v>
                </c:pt>
                <c:pt idx="50">
                  <c:v>København</c:v>
                </c:pt>
                <c:pt idx="51">
                  <c:v>Mannheim</c:v>
                </c:pt>
                <c:pt idx="52">
                  <c:v>Torino</c:v>
                </c:pt>
                <c:pt idx="53">
                  <c:v>Münster</c:v>
                </c:pt>
                <c:pt idx="54">
                  <c:v>Aachen</c:v>
                </c:pt>
                <c:pt idx="55">
                  <c:v>Berlin</c:v>
                </c:pt>
                <c:pt idx="56">
                  <c:v>Stavern</c:v>
                </c:pt>
                <c:pt idx="57">
                  <c:v>Barcelona</c:v>
                </c:pt>
                <c:pt idx="58">
                  <c:v>Reims</c:v>
                </c:pt>
                <c:pt idx="59">
                  <c:v>Elgin</c:v>
                </c:pt>
                <c:pt idx="60">
                  <c:v>Leipzig</c:v>
                </c:pt>
                <c:pt idx="61">
                  <c:v>Lille</c:v>
                </c:pt>
                <c:pt idx="62">
                  <c:v>San Francisco</c:v>
                </c:pt>
                <c:pt idx="63">
                  <c:v>Versailles</c:v>
                </c:pt>
                <c:pt idx="64">
                  <c:v>Paris</c:v>
                </c:pt>
                <c:pt idx="65">
                  <c:v>Butte</c:v>
                </c:pt>
                <c:pt idx="66">
                  <c:v>Vancouver</c:v>
                </c:pt>
                <c:pt idx="67">
                  <c:v>Kirkland</c:v>
                </c:pt>
                <c:pt idx="68">
                  <c:v>Caracas</c:v>
                </c:pt>
                <c:pt idx="69">
                  <c:v>Walla Walla</c:v>
                </c:pt>
              </c:strCache>
            </c:strRef>
          </c:cat>
          <c:val>
            <c:numRef>
              <c:f>'EDA-5'!$J$20:$J$90</c:f>
              <c:numCache>
                <c:formatCode>General</c:formatCode>
                <c:ptCount val="70"/>
                <c:pt idx="0">
                  <c:v>34</c:v>
                </c:pt>
                <c:pt idx="1">
                  <c:v>33</c:v>
                </c:pt>
                <c:pt idx="2">
                  <c:v>31</c:v>
                </c:pt>
                <c:pt idx="3">
                  <c:v>31</c:v>
                </c:pt>
                <c:pt idx="4">
                  <c:v>30</c:v>
                </c:pt>
                <c:pt idx="5">
                  <c:v>28</c:v>
                </c:pt>
                <c:pt idx="6">
                  <c:v>28</c:v>
                </c:pt>
                <c:pt idx="7">
                  <c:v>19</c:v>
                </c:pt>
                <c:pt idx="8">
                  <c:v>19</c:v>
                </c:pt>
                <c:pt idx="9">
                  <c:v>18</c:v>
                </c:pt>
                <c:pt idx="10">
                  <c:v>18</c:v>
                </c:pt>
                <c:pt idx="11">
                  <c:v>18</c:v>
                </c:pt>
                <c:pt idx="12">
                  <c:v>17</c:v>
                </c:pt>
                <c:pt idx="13">
                  <c:v>16</c:v>
                </c:pt>
                <c:pt idx="14">
                  <c:v>15</c:v>
                </c:pt>
                <c:pt idx="15">
                  <c:v>15</c:v>
                </c:pt>
                <c:pt idx="16">
                  <c:v>15</c:v>
                </c:pt>
                <c:pt idx="17">
                  <c:v>14</c:v>
                </c:pt>
                <c:pt idx="18">
                  <c:v>14</c:v>
                </c:pt>
                <c:pt idx="19">
                  <c:v>14</c:v>
                </c:pt>
                <c:pt idx="20">
                  <c:v>14</c:v>
                </c:pt>
                <c:pt idx="21">
                  <c:v>14</c:v>
                </c:pt>
                <c:pt idx="22">
                  <c:v>13</c:v>
                </c:pt>
                <c:pt idx="23">
                  <c:v>13</c:v>
                </c:pt>
                <c:pt idx="24">
                  <c:v>13</c:v>
                </c:pt>
                <c:pt idx="25">
                  <c:v>12</c:v>
                </c:pt>
                <c:pt idx="26">
                  <c:v>12</c:v>
                </c:pt>
                <c:pt idx="27">
                  <c:v>12</c:v>
                </c:pt>
                <c:pt idx="28">
                  <c:v>12</c:v>
                </c:pt>
                <c:pt idx="29">
                  <c:v>11</c:v>
                </c:pt>
                <c:pt idx="30">
                  <c:v>11</c:v>
                </c:pt>
                <c:pt idx="31">
                  <c:v>11</c:v>
                </c:pt>
                <c:pt idx="32">
                  <c:v>10</c:v>
                </c:pt>
                <c:pt idx="33">
                  <c:v>10</c:v>
                </c:pt>
                <c:pt idx="34">
                  <c:v>10</c:v>
                </c:pt>
                <c:pt idx="35">
                  <c:v>10</c:v>
                </c:pt>
                <c:pt idx="36">
                  <c:v>10</c:v>
                </c:pt>
                <c:pt idx="37">
                  <c:v>10</c:v>
                </c:pt>
                <c:pt idx="38">
                  <c:v>10</c:v>
                </c:pt>
                <c:pt idx="39">
                  <c:v>10</c:v>
                </c:pt>
                <c:pt idx="40">
                  <c:v>10</c:v>
                </c:pt>
                <c:pt idx="41">
                  <c:v>9</c:v>
                </c:pt>
                <c:pt idx="42">
                  <c:v>9</c:v>
                </c:pt>
                <c:pt idx="43">
                  <c:v>9</c:v>
                </c:pt>
                <c:pt idx="44">
                  <c:v>8</c:v>
                </c:pt>
                <c:pt idx="45">
                  <c:v>8</c:v>
                </c:pt>
                <c:pt idx="46">
                  <c:v>7</c:v>
                </c:pt>
                <c:pt idx="47">
                  <c:v>7</c:v>
                </c:pt>
                <c:pt idx="48">
                  <c:v>7</c:v>
                </c:pt>
                <c:pt idx="49">
                  <c:v>7</c:v>
                </c:pt>
                <c:pt idx="50">
                  <c:v>7</c:v>
                </c:pt>
                <c:pt idx="51">
                  <c:v>7</c:v>
                </c:pt>
                <c:pt idx="52">
                  <c:v>6</c:v>
                </c:pt>
                <c:pt idx="53">
                  <c:v>6</c:v>
                </c:pt>
                <c:pt idx="54">
                  <c:v>6</c:v>
                </c:pt>
                <c:pt idx="55">
                  <c:v>6</c:v>
                </c:pt>
                <c:pt idx="56">
                  <c:v>6</c:v>
                </c:pt>
                <c:pt idx="57">
                  <c:v>5</c:v>
                </c:pt>
                <c:pt idx="58">
                  <c:v>5</c:v>
                </c:pt>
                <c:pt idx="59">
                  <c:v>5</c:v>
                </c:pt>
                <c:pt idx="60">
                  <c:v>5</c:v>
                </c:pt>
                <c:pt idx="61">
                  <c:v>5</c:v>
                </c:pt>
                <c:pt idx="62">
                  <c:v>4</c:v>
                </c:pt>
                <c:pt idx="63">
                  <c:v>4</c:v>
                </c:pt>
                <c:pt idx="64">
                  <c:v>4</c:v>
                </c:pt>
                <c:pt idx="65">
                  <c:v>3</c:v>
                </c:pt>
                <c:pt idx="66">
                  <c:v>3</c:v>
                </c:pt>
                <c:pt idx="67">
                  <c:v>3</c:v>
                </c:pt>
                <c:pt idx="68">
                  <c:v>2</c:v>
                </c:pt>
                <c:pt idx="69">
                  <c:v>2</c:v>
                </c:pt>
              </c:numCache>
            </c:numRef>
          </c:val>
          <c:extLst>
            <c:ext xmlns:c16="http://schemas.microsoft.com/office/drawing/2014/chart" uri="{C3380CC4-5D6E-409C-BE32-E72D297353CC}">
              <c16:uniqueId val="{00000000-BD6B-49DC-A9C8-CC3D2E0D97AA}"/>
            </c:ext>
          </c:extLst>
        </c:ser>
        <c:dLbls>
          <c:showLegendKey val="0"/>
          <c:showVal val="0"/>
          <c:showCatName val="0"/>
          <c:showSerName val="0"/>
          <c:showPercent val="0"/>
          <c:showBubbleSize val="0"/>
        </c:dLbls>
        <c:gapWidth val="100"/>
        <c:overlap val="-24"/>
        <c:axId val="233956032"/>
        <c:axId val="233956512"/>
      </c:barChart>
      <c:catAx>
        <c:axId val="233956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3956512"/>
        <c:crosses val="autoZero"/>
        <c:auto val="1"/>
        <c:lblAlgn val="ctr"/>
        <c:lblOffset val="100"/>
        <c:noMultiLvlLbl val="0"/>
      </c:catAx>
      <c:valAx>
        <c:axId val="2339565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33956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tx1"/>
    </a:soli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33</Pages>
  <Words>5081</Words>
  <Characters>28967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Akarsh Dwivedi</cp:lastModifiedBy>
  <cp:revision>6</cp:revision>
  <dcterms:created xsi:type="dcterms:W3CDTF">2025-07-20T12:57:00Z</dcterms:created>
  <dcterms:modified xsi:type="dcterms:W3CDTF">2025-10-04T16:46:00Z</dcterms:modified>
</cp:coreProperties>
</file>