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4F46E5"/>
          <w:sz w:val="28"/>
        </w:rPr>
        <w:t>SMART INDIA HACKATHON (SIH) 2026 — TECHNICAL DOSSIER</w:t>
      </w:r>
    </w:p>
    <w:p>
      <w:pPr>
        <w:spacing w:before="120" w:after="80"/>
        <w:jc w:val="center"/>
      </w:pPr>
      <w:r>
        <w:rPr>
          <w:rFonts w:ascii="Times New Roman" w:hAnsi="Times New Roman"/>
          <w:b/>
          <w:color w:val="0F172A"/>
          <w:sz w:val="32"/>
        </w:rPr>
        <w:t>NEUROQUEST: COMPREHENSIVE DATASET &amp; CURRICULUM REGISTRY FOR THE EVALUATION JURY</w:t>
      </w:r>
    </w:p>
    <w:p>
      <w:pPr>
        <w:spacing w:after="280"/>
        <w:jc w:val="center"/>
      </w:pPr>
      <w:r>
        <w:rPr>
          <w:rFonts w:ascii="Times New Roman" w:hAnsi="Times New Roman"/>
          <w:i/>
          <w:color w:val="475569"/>
          <w:sz w:val="28"/>
        </w:rPr>
        <w:t>Audit of Curated Educational Repositories, Pediatric Screening Benchmarks, and Real-Time Adaptive Telemetry Models</w:t>
      </w:r>
    </w:p>
    <w:p>
      <w:pPr>
        <w:spacing w:after="240"/>
      </w:pPr>
      <w:r>
        <w:rPr>
          <w:b/>
        </w:rPr>
        <w:t xml:space="preserve">• Project Title: </w:t>
      </w:r>
      <w:r>
        <w:t>NeuroQuest — AI-Powered Adaptive Learning Platform for Neurodivergent Students</w:t>
        <w:br/>
      </w:r>
      <w:r>
        <w:rPr>
          <w:b/>
        </w:rPr>
        <w:t xml:space="preserve">• Evaluation Target: </w:t>
      </w:r>
      <w:r>
        <w:t>SIH 2026 Grand Finale Evaluation Jury &amp; Technical Assessors</w:t>
        <w:br/>
      </w:r>
      <w:r>
        <w:rPr>
          <w:b/>
        </w:rPr>
        <w:t xml:space="preserve">• Target Cohort: </w:t>
      </w:r>
      <w:r>
        <w:t>K-10 Learners with ADHD, Dyslexia, Autism Spectrum Traits, and Sensory Differences</w:t>
        <w:br/>
      </w:r>
      <w:r>
        <w:rPr>
          <w:b/>
        </w:rPr>
        <w:t xml:space="preserve">• Core Regulatory Framework: </w:t>
      </w:r>
      <w:r>
        <w:t>NEP 2020 (NCERT Classes 1–10) • DPDP Act 2023 • Non-Diagnostic Ethics Guarantee</w:t>
      </w:r>
    </w:p>
    <w:p>
      <w:pPr>
        <w:spacing w:after="120"/>
      </w:pPr>
    </w:p>
    <w:p>
      <w:pPr>
        <w:spacing w:before="280" w:after="120" w:line="276" w:lineRule="auto"/>
        <w:jc w:val="left"/>
      </w:pPr>
      <w:r>
        <w:rPr>
          <w:rFonts w:ascii="Times New Roman" w:hAnsi="Times New Roman"/>
          <w:b/>
          <w:color w:val="0F172A"/>
          <w:sz w:val="32"/>
        </w:rPr>
        <w:t>1. Executive Master Dataset Inventory &amp; Licensing Registry</w:t>
      </w:r>
    </w:p>
    <w:p>
      <w:pPr>
        <w:spacing w:before="0" w:after="120" w:line="276" w:lineRule="auto"/>
        <w:jc w:val="left"/>
      </w:pPr>
      <w:r>
        <w:rPr>
          <w:rFonts w:ascii="Times New Roman" w:hAnsi="Times New Roman"/>
          <w:i w:val="0"/>
          <w:color w:val="1E293B"/>
          <w:sz w:val="28"/>
        </w:rPr>
        <w:t>NeuroQuest leverages seven rigorously audited, open-access, and ethically governed data assets. Every dataset complies with international and Indian open educational licenses. All clinical data has undergone an exclusive 'Educational Translation Pipeline' where diagnostic labels and medical cut-offs are permanently purged.</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293B"/>
            <w:tcMar>
              <w:top w:w="120" w:type="dxa"/>
              <w:bottom w:w="120" w:type="dxa"/>
              <w:left w:w="140" w:type="dxa"/>
              <w:right w:w="140" w:type="dxa"/>
            </w:tcMar>
          </w:tcPr>
          <w:p>
            <w:r>
              <w:rPr>
                <w:rFonts w:ascii="Times New Roman" w:hAnsi="Times New Roman"/>
                <w:b/>
                <w:color w:val="FFFFFF"/>
                <w:sz w:val="28"/>
              </w:rPr>
              <w:t>Dataset Identifier</w:t>
            </w:r>
          </w:p>
        </w:tc>
        <w:tc>
          <w:tcPr>
            <w:tcW w:type="dxa" w:w="1987"/>
            <w:shd w:fill="1E293B"/>
            <w:tcMar>
              <w:top w:w="120" w:type="dxa"/>
              <w:bottom w:w="120" w:type="dxa"/>
              <w:left w:w="140" w:type="dxa"/>
              <w:right w:w="140" w:type="dxa"/>
            </w:tcMar>
          </w:tcPr>
          <w:p>
            <w:r>
              <w:rPr>
                <w:rFonts w:ascii="Times New Roman" w:hAnsi="Times New Roman"/>
                <w:b/>
                <w:color w:val="FFFFFF"/>
                <w:sz w:val="28"/>
              </w:rPr>
              <w:t>Primary Origin / Authority</w:t>
            </w:r>
          </w:p>
        </w:tc>
        <w:tc>
          <w:tcPr>
            <w:tcW w:type="dxa" w:w="1987"/>
            <w:shd w:fill="1E293B"/>
            <w:tcMar>
              <w:top w:w="120" w:type="dxa"/>
              <w:bottom w:w="120" w:type="dxa"/>
              <w:left w:w="140" w:type="dxa"/>
              <w:right w:w="140" w:type="dxa"/>
            </w:tcMar>
          </w:tcPr>
          <w:p>
            <w:r>
              <w:rPr>
                <w:rFonts w:ascii="Times New Roman" w:hAnsi="Times New Roman"/>
                <w:b/>
                <w:color w:val="FFFFFF"/>
                <w:sz w:val="28"/>
              </w:rPr>
              <w:t>Scope &amp; Volume</w:t>
            </w:r>
          </w:p>
        </w:tc>
        <w:tc>
          <w:tcPr>
            <w:tcW w:type="dxa" w:w="1987"/>
            <w:shd w:fill="1E293B"/>
            <w:tcMar>
              <w:top w:w="120" w:type="dxa"/>
              <w:bottom w:w="120" w:type="dxa"/>
              <w:left w:w="140" w:type="dxa"/>
              <w:right w:w="140" w:type="dxa"/>
            </w:tcMar>
          </w:tcPr>
          <w:p>
            <w:r>
              <w:rPr>
                <w:rFonts w:ascii="Times New Roman" w:hAnsi="Times New Roman"/>
                <w:b/>
                <w:color w:val="FFFFFF"/>
                <w:sz w:val="28"/>
              </w:rPr>
              <w:t>License Type</w:t>
            </w:r>
          </w:p>
        </w:tc>
        <w:tc>
          <w:tcPr>
            <w:tcW w:type="dxa" w:w="1987"/>
            <w:shd w:fill="1E293B"/>
            <w:tcMar>
              <w:top w:w="120" w:type="dxa"/>
              <w:bottom w:w="120" w:type="dxa"/>
              <w:left w:w="140" w:type="dxa"/>
              <w:right w:w="140" w:type="dxa"/>
            </w:tcMar>
          </w:tcPr>
          <w:p>
            <w:r>
              <w:rPr>
                <w:rFonts w:ascii="Times New Roman" w:hAnsi="Times New Roman"/>
                <w:b/>
                <w:color w:val="FFFFFF"/>
                <w:sz w:val="28"/>
              </w:rPr>
              <w:t>Ethical / Usage Verdict</w:t>
            </w:r>
          </w:p>
        </w:tc>
      </w:tr>
      <w:tr>
        <w:tc>
          <w:tcPr>
            <w:tcW w:type="dxa" w:w="1987"/>
            <w:tcMar>
              <w:top w:w="80" w:type="dxa"/>
              <w:bottom w:w="80" w:type="dxa"/>
              <w:left w:w="100" w:type="dxa"/>
              <w:right w:w="100" w:type="dxa"/>
            </w:tcMar>
          </w:tcPr>
          <w:p>
            <w:r>
              <w:rPr>
                <w:rFonts w:ascii="Times New Roman" w:hAnsi="Times New Roman"/>
                <w:b/>
                <w:color w:val="1E293B"/>
                <w:sz w:val="24"/>
              </w:rPr>
              <w:t>NCERT Master Curriculum &amp; Knowledge Graph</w:t>
            </w:r>
          </w:p>
        </w:tc>
        <w:tc>
          <w:tcPr>
            <w:tcW w:type="dxa" w:w="1987"/>
            <w:tcMar>
              <w:top w:w="80" w:type="dxa"/>
              <w:bottom w:w="80" w:type="dxa"/>
              <w:left w:w="100" w:type="dxa"/>
              <w:right w:w="100" w:type="dxa"/>
            </w:tcMar>
          </w:tcPr>
          <w:p>
            <w:r>
              <w:rPr>
                <w:rFonts w:ascii="Times New Roman" w:hAnsi="Times New Roman"/>
                <w:color w:val="1E293B"/>
                <w:sz w:val="24"/>
              </w:rPr>
              <w:t>NCERT, MoE, Govt. of India / ePathshala</w:t>
            </w:r>
          </w:p>
        </w:tc>
        <w:tc>
          <w:tcPr>
            <w:tcW w:type="dxa" w:w="1987"/>
            <w:tcMar>
              <w:top w:w="80" w:type="dxa"/>
              <w:bottom w:w="80" w:type="dxa"/>
              <w:left w:w="100" w:type="dxa"/>
              <w:right w:w="100" w:type="dxa"/>
            </w:tcMar>
          </w:tcPr>
          <w:p>
            <w:r>
              <w:rPr>
                <w:rFonts w:ascii="Times New Roman" w:hAnsi="Times New Roman"/>
                <w:color w:val="1E293B"/>
                <w:sz w:val="24"/>
              </w:rPr>
              <w:t>10 Standards (Classes 1–10), 168 Chapters, 168 Multi-subject Tasks</w:t>
            </w:r>
          </w:p>
        </w:tc>
        <w:tc>
          <w:tcPr>
            <w:tcW w:type="dxa" w:w="1987"/>
            <w:tcMar>
              <w:top w:w="80" w:type="dxa"/>
              <w:bottom w:w="80" w:type="dxa"/>
              <w:left w:w="100" w:type="dxa"/>
              <w:right w:w="100" w:type="dxa"/>
            </w:tcMar>
          </w:tcPr>
          <w:p>
            <w:r>
              <w:rPr>
                <w:rFonts w:ascii="Times New Roman" w:hAnsi="Times New Roman"/>
                <w:color w:val="1E293B"/>
                <w:sz w:val="24"/>
              </w:rPr>
              <w:t>NCERT Open Educational Resource</w:t>
            </w:r>
          </w:p>
        </w:tc>
        <w:tc>
          <w:tcPr>
            <w:tcW w:type="dxa" w:w="1987"/>
            <w:tcMar>
              <w:top w:w="80" w:type="dxa"/>
              <w:bottom w:w="80" w:type="dxa"/>
              <w:left w:w="100" w:type="dxa"/>
              <w:right w:w="100" w:type="dxa"/>
            </w:tcMar>
            <w:shd w:fill="F0FDF4"/>
          </w:tcPr>
          <w:p>
            <w:r>
              <w:rPr>
                <w:rFonts w:ascii="Times New Roman" w:hAnsi="Times New Roman"/>
                <w:color w:val="1E293B"/>
                <w:sz w:val="24"/>
              </w:rPr>
              <w:t>100% Pedagogical Foundation (Verified)</w:t>
            </w:r>
          </w:p>
        </w:tc>
      </w:tr>
      <w:tr>
        <w:tc>
          <w:tcPr>
            <w:tcW w:type="dxa" w:w="1987"/>
            <w:tcMar>
              <w:top w:w="80" w:type="dxa"/>
              <w:bottom w:w="80" w:type="dxa"/>
              <w:left w:w="100" w:type="dxa"/>
              <w:right w:w="100" w:type="dxa"/>
            </w:tcMar>
          </w:tcPr>
          <w:p>
            <w:r>
              <w:rPr>
                <w:rFonts w:ascii="Times New Roman" w:hAnsi="Times New Roman"/>
                <w:b/>
                <w:color w:val="1E293B"/>
                <w:sz w:val="24"/>
              </w:rPr>
              <w:t>WALS Neurodivergent Personalization</w:t>
            </w:r>
          </w:p>
        </w:tc>
        <w:tc>
          <w:tcPr>
            <w:tcW w:type="dxa" w:w="1987"/>
            <w:tcMar>
              <w:top w:w="80" w:type="dxa"/>
              <w:bottom w:w="80" w:type="dxa"/>
              <w:left w:w="100" w:type="dxa"/>
              <w:right w:w="100" w:type="dxa"/>
            </w:tcMar>
          </w:tcPr>
          <w:p>
            <w:r>
              <w:rPr>
                <w:rFonts w:ascii="Times New Roman" w:hAnsi="Times New Roman"/>
                <w:color w:val="1E293B"/>
                <w:sz w:val="24"/>
              </w:rPr>
              <w:t>Kaggle (rahuldev77788) / WALS Lab</w:t>
            </w:r>
          </w:p>
        </w:tc>
        <w:tc>
          <w:tcPr>
            <w:tcW w:type="dxa" w:w="1987"/>
            <w:tcMar>
              <w:top w:w="80" w:type="dxa"/>
              <w:bottom w:w="80" w:type="dxa"/>
              <w:left w:w="100" w:type="dxa"/>
              <w:right w:w="100" w:type="dxa"/>
            </w:tcMar>
          </w:tcPr>
          <w:p>
            <w:r>
              <w:rPr>
                <w:rFonts w:ascii="Times New Roman" w:hAnsi="Times New Roman"/>
                <w:color w:val="1E293B"/>
                <w:sz w:val="24"/>
              </w:rPr>
              <w:t>10,000 Empirical Student Interaction Sessions</w:t>
            </w:r>
          </w:p>
        </w:tc>
        <w:tc>
          <w:tcPr>
            <w:tcW w:type="dxa" w:w="1987"/>
            <w:tcMar>
              <w:top w:w="80" w:type="dxa"/>
              <w:bottom w:w="80" w:type="dxa"/>
              <w:left w:w="100" w:type="dxa"/>
              <w:right w:w="100" w:type="dxa"/>
            </w:tcMar>
          </w:tcPr>
          <w:p>
            <w:r>
              <w:rPr>
                <w:rFonts w:ascii="Times New Roman" w:hAnsi="Times New Roman"/>
                <w:color w:val="1E293B"/>
                <w:sz w:val="24"/>
              </w:rPr>
              <w:t>Creative Commons CC BY 4.0</w:t>
            </w:r>
          </w:p>
        </w:tc>
        <w:tc>
          <w:tcPr>
            <w:tcW w:type="dxa" w:w="1987"/>
            <w:tcMar>
              <w:top w:w="80" w:type="dxa"/>
              <w:bottom w:w="80" w:type="dxa"/>
              <w:left w:w="100" w:type="dxa"/>
              <w:right w:w="100" w:type="dxa"/>
            </w:tcMar>
            <w:shd w:fill="F0FDF4"/>
          </w:tcPr>
          <w:p>
            <w:r>
              <w:rPr>
                <w:rFonts w:ascii="Times New Roman" w:hAnsi="Times New Roman"/>
                <w:color w:val="1E293B"/>
                <w:sz w:val="24"/>
              </w:rPr>
              <w:t>100% Safe (UI Baseline Calibration)</w:t>
            </w:r>
          </w:p>
        </w:tc>
      </w:tr>
      <w:tr>
        <w:tc>
          <w:tcPr>
            <w:tcW w:type="dxa" w:w="1987"/>
            <w:tcMar>
              <w:top w:w="80" w:type="dxa"/>
              <w:bottom w:w="80" w:type="dxa"/>
              <w:left w:w="100" w:type="dxa"/>
              <w:right w:w="100" w:type="dxa"/>
            </w:tcMar>
          </w:tcPr>
          <w:p>
            <w:r>
              <w:rPr>
                <w:rFonts w:ascii="Times New Roman" w:hAnsi="Times New Roman"/>
                <w:b/>
                <w:color w:val="1E293B"/>
                <w:sz w:val="24"/>
              </w:rPr>
              <w:t>ASD Screening Child &amp; Adolescent Data</w:t>
            </w:r>
          </w:p>
        </w:tc>
        <w:tc>
          <w:tcPr>
            <w:tcW w:type="dxa" w:w="1987"/>
            <w:tcMar>
              <w:top w:w="80" w:type="dxa"/>
              <w:bottom w:w="80" w:type="dxa"/>
              <w:left w:w="100" w:type="dxa"/>
              <w:right w:w="100" w:type="dxa"/>
            </w:tcMar>
          </w:tcPr>
          <w:p>
            <w:r>
              <w:rPr>
                <w:rFonts w:ascii="Times New Roman" w:hAnsi="Times New Roman"/>
                <w:color w:val="1E293B"/>
                <w:sz w:val="24"/>
              </w:rPr>
              <w:t>Univ. of Huddersfield / Dr. Fadi Thabtah</w:t>
            </w:r>
          </w:p>
        </w:tc>
        <w:tc>
          <w:tcPr>
            <w:tcW w:type="dxa" w:w="1987"/>
            <w:tcMar>
              <w:top w:w="80" w:type="dxa"/>
              <w:bottom w:w="80" w:type="dxa"/>
              <w:left w:w="100" w:type="dxa"/>
              <w:right w:w="100" w:type="dxa"/>
            </w:tcMar>
          </w:tcPr>
          <w:p>
            <w:r>
              <w:rPr>
                <w:rFonts w:ascii="Times New Roman" w:hAnsi="Times New Roman"/>
                <w:color w:val="1E293B"/>
                <w:sz w:val="24"/>
              </w:rPr>
              <w:t>292 Child + 104 Adolescent Clinical Records</w:t>
            </w:r>
          </w:p>
        </w:tc>
        <w:tc>
          <w:tcPr>
            <w:tcW w:type="dxa" w:w="1987"/>
            <w:tcMar>
              <w:top w:w="80" w:type="dxa"/>
              <w:bottom w:w="80" w:type="dxa"/>
              <w:left w:w="100" w:type="dxa"/>
              <w:right w:w="100" w:type="dxa"/>
            </w:tcMar>
          </w:tcPr>
          <w:p>
            <w:r>
              <w:rPr>
                <w:rFonts w:ascii="Times New Roman" w:hAnsi="Times New Roman"/>
                <w:color w:val="1E293B"/>
                <w:sz w:val="24"/>
              </w:rPr>
              <w:t>Creative Commons CC BY 4.0</w:t>
            </w:r>
          </w:p>
        </w:tc>
        <w:tc>
          <w:tcPr>
            <w:tcW w:type="dxa" w:w="1987"/>
            <w:tcMar>
              <w:top w:w="80" w:type="dxa"/>
              <w:bottom w:w="80" w:type="dxa"/>
              <w:left w:w="100" w:type="dxa"/>
              <w:right w:w="100" w:type="dxa"/>
            </w:tcMar>
            <w:shd w:fill="FEF3C7"/>
          </w:tcPr>
          <w:p>
            <w:r>
              <w:rPr>
                <w:rFonts w:ascii="Times New Roman" w:hAnsi="Times New Roman"/>
                <w:color w:val="1E293B"/>
                <w:sz w:val="24"/>
              </w:rPr>
              <w:t>Partially Usable: Non-Diagnostic Translation</w:t>
            </w:r>
          </w:p>
        </w:tc>
      </w:tr>
      <w:tr>
        <w:tc>
          <w:tcPr>
            <w:tcW w:type="dxa" w:w="1987"/>
            <w:tcMar>
              <w:top w:w="80" w:type="dxa"/>
              <w:bottom w:w="80" w:type="dxa"/>
              <w:left w:w="100" w:type="dxa"/>
              <w:right w:w="100" w:type="dxa"/>
            </w:tcMar>
          </w:tcPr>
          <w:p>
            <w:r>
              <w:rPr>
                <w:rFonts w:ascii="Times New Roman" w:hAnsi="Times New Roman"/>
                <w:b/>
                <w:color w:val="1E293B"/>
                <w:sz w:val="24"/>
              </w:rPr>
              <w:t>ICMR Pediatric Assessment Framework</w:t>
            </w:r>
          </w:p>
        </w:tc>
        <w:tc>
          <w:tcPr>
            <w:tcW w:type="dxa" w:w="1987"/>
            <w:tcMar>
              <w:top w:w="80" w:type="dxa"/>
              <w:bottom w:w="80" w:type="dxa"/>
              <w:left w:w="100" w:type="dxa"/>
              <w:right w:w="100" w:type="dxa"/>
            </w:tcMar>
          </w:tcPr>
          <w:p>
            <w:r>
              <w:rPr>
                <w:rFonts w:ascii="Times New Roman" w:hAnsi="Times New Roman"/>
                <w:color w:val="1E293B"/>
                <w:sz w:val="24"/>
              </w:rPr>
              <w:t>Indian Council of Medical Research / INCLEN</w:t>
            </w:r>
          </w:p>
        </w:tc>
        <w:tc>
          <w:tcPr>
            <w:tcW w:type="dxa" w:w="1987"/>
            <w:tcMar>
              <w:top w:w="80" w:type="dxa"/>
              <w:bottom w:w="80" w:type="dxa"/>
              <w:left w:w="100" w:type="dxa"/>
              <w:right w:w="100" w:type="dxa"/>
            </w:tcMar>
          </w:tcPr>
          <w:p>
            <w:r>
              <w:rPr>
                <w:rFonts w:ascii="Times New Roman" w:hAnsi="Times New Roman"/>
                <w:color w:val="1E293B"/>
                <w:sz w:val="24"/>
              </w:rPr>
              <w:t>Multi-site Pediatric Observation Standards</w:t>
            </w:r>
          </w:p>
        </w:tc>
        <w:tc>
          <w:tcPr>
            <w:tcW w:type="dxa" w:w="1987"/>
            <w:tcMar>
              <w:top w:w="80" w:type="dxa"/>
              <w:bottom w:w="80" w:type="dxa"/>
              <w:left w:w="100" w:type="dxa"/>
              <w:right w:w="100" w:type="dxa"/>
            </w:tcMar>
          </w:tcPr>
          <w:p>
            <w:r>
              <w:rPr>
                <w:rFonts w:ascii="Times New Roman" w:hAnsi="Times New Roman"/>
                <w:color w:val="1E293B"/>
                <w:sz w:val="24"/>
              </w:rPr>
              <w:t>Open Public Health Research Data</w:t>
            </w:r>
          </w:p>
        </w:tc>
        <w:tc>
          <w:tcPr>
            <w:tcW w:type="dxa" w:w="1987"/>
            <w:tcMar>
              <w:top w:w="80" w:type="dxa"/>
              <w:bottom w:w="80" w:type="dxa"/>
              <w:left w:w="100" w:type="dxa"/>
              <w:right w:w="100" w:type="dxa"/>
            </w:tcMar>
            <w:shd w:fill="FEF3C7"/>
          </w:tcPr>
          <w:p>
            <w:r>
              <w:rPr>
                <w:rFonts w:ascii="Times New Roman" w:hAnsi="Times New Roman"/>
                <w:color w:val="1E293B"/>
                <w:sz w:val="24"/>
              </w:rPr>
              <w:t>Partially Usable: Strictly Environmental Signals</w:t>
            </w:r>
          </w:p>
        </w:tc>
      </w:tr>
      <w:tr>
        <w:tc>
          <w:tcPr>
            <w:tcW w:type="dxa" w:w="1987"/>
            <w:tcMar>
              <w:top w:w="80" w:type="dxa"/>
              <w:bottom w:w="80" w:type="dxa"/>
              <w:left w:w="100" w:type="dxa"/>
              <w:right w:w="100" w:type="dxa"/>
            </w:tcMar>
          </w:tcPr>
          <w:p>
            <w:r>
              <w:rPr>
                <w:rFonts w:ascii="Times New Roman" w:hAnsi="Times New Roman"/>
                <w:b/>
                <w:color w:val="1E293B"/>
                <w:sz w:val="24"/>
              </w:rPr>
              <w:t>ASSISTments &amp; EdNet Learning Analytics</w:t>
            </w:r>
          </w:p>
        </w:tc>
        <w:tc>
          <w:tcPr>
            <w:tcW w:type="dxa" w:w="1987"/>
            <w:tcMar>
              <w:top w:w="80" w:type="dxa"/>
              <w:bottom w:w="80" w:type="dxa"/>
              <w:left w:w="100" w:type="dxa"/>
              <w:right w:w="100" w:type="dxa"/>
            </w:tcMar>
          </w:tcPr>
          <w:p>
            <w:r>
              <w:rPr>
                <w:rFonts w:ascii="Times New Roman" w:hAnsi="Times New Roman"/>
                <w:color w:val="1E293B"/>
                <w:sz w:val="24"/>
              </w:rPr>
              <w:t>WPI / Santa EdTech / NeurIPS Benchmark</w:t>
            </w:r>
          </w:p>
        </w:tc>
        <w:tc>
          <w:tcPr>
            <w:tcW w:type="dxa" w:w="1987"/>
            <w:tcMar>
              <w:top w:w="80" w:type="dxa"/>
              <w:bottom w:w="80" w:type="dxa"/>
              <w:left w:w="100" w:type="dxa"/>
              <w:right w:w="100" w:type="dxa"/>
            </w:tcMar>
          </w:tcPr>
          <w:p>
            <w:r>
              <w:rPr>
                <w:rFonts w:ascii="Times New Roman" w:hAnsi="Times New Roman"/>
                <w:color w:val="1E293B"/>
                <w:sz w:val="24"/>
              </w:rPr>
              <w:t>100M+ Student Problem Solving Actions</w:t>
            </w:r>
          </w:p>
        </w:tc>
        <w:tc>
          <w:tcPr>
            <w:tcW w:type="dxa" w:w="1987"/>
            <w:tcMar>
              <w:top w:w="80" w:type="dxa"/>
              <w:bottom w:w="80" w:type="dxa"/>
              <w:left w:w="100" w:type="dxa"/>
              <w:right w:w="100" w:type="dxa"/>
            </w:tcMar>
          </w:tcPr>
          <w:p>
            <w:r>
              <w:rPr>
                <w:rFonts w:ascii="Times New Roman" w:hAnsi="Times New Roman"/>
                <w:color w:val="1E293B"/>
                <w:sz w:val="24"/>
              </w:rPr>
              <w:t>Creative Commons CC BY 4.0</w:t>
            </w:r>
          </w:p>
        </w:tc>
        <w:tc>
          <w:tcPr>
            <w:tcW w:type="dxa" w:w="1987"/>
            <w:tcMar>
              <w:top w:w="80" w:type="dxa"/>
              <w:bottom w:w="80" w:type="dxa"/>
              <w:left w:w="100" w:type="dxa"/>
              <w:right w:w="100" w:type="dxa"/>
            </w:tcMar>
            <w:shd w:fill="F0FDF4"/>
          </w:tcPr>
          <w:p>
            <w:r>
              <w:rPr>
                <w:rFonts w:ascii="Times New Roman" w:hAnsi="Times New Roman"/>
                <w:color w:val="1E293B"/>
                <w:sz w:val="24"/>
              </w:rPr>
              <w:t>100% Usable (BKT &amp; Scaffolding Rates)</w:t>
            </w:r>
          </w:p>
        </w:tc>
      </w:tr>
      <w:tr>
        <w:tc>
          <w:tcPr>
            <w:tcW w:type="dxa" w:w="1987"/>
            <w:tcMar>
              <w:top w:w="80" w:type="dxa"/>
              <w:bottom w:w="80" w:type="dxa"/>
              <w:left w:w="100" w:type="dxa"/>
              <w:right w:w="100" w:type="dxa"/>
            </w:tcMar>
          </w:tcPr>
          <w:p>
            <w:r>
              <w:rPr>
                <w:rFonts w:ascii="Times New Roman" w:hAnsi="Times New Roman"/>
                <w:b/>
                <w:color w:val="1E293B"/>
                <w:sz w:val="24"/>
              </w:rPr>
              <w:t>UCI Student Behavioral Telemetry</w:t>
            </w:r>
          </w:p>
        </w:tc>
        <w:tc>
          <w:tcPr>
            <w:tcW w:type="dxa" w:w="1987"/>
            <w:tcMar>
              <w:top w:w="80" w:type="dxa"/>
              <w:bottom w:w="80" w:type="dxa"/>
              <w:left w:w="100" w:type="dxa"/>
              <w:right w:w="100" w:type="dxa"/>
            </w:tcMar>
          </w:tcPr>
          <w:p>
            <w:r>
              <w:rPr>
                <w:rFonts w:ascii="Times New Roman" w:hAnsi="Times New Roman"/>
                <w:color w:val="1E293B"/>
                <w:sz w:val="24"/>
              </w:rPr>
              <w:t>UCI Machine Learning Repository</w:t>
            </w:r>
          </w:p>
        </w:tc>
        <w:tc>
          <w:tcPr>
            <w:tcW w:type="dxa" w:w="1987"/>
            <w:tcMar>
              <w:top w:w="80" w:type="dxa"/>
              <w:bottom w:w="80" w:type="dxa"/>
              <w:left w:w="100" w:type="dxa"/>
              <w:right w:w="100" w:type="dxa"/>
            </w:tcMar>
          </w:tcPr>
          <w:p>
            <w:r>
              <w:rPr>
                <w:rFonts w:ascii="Times New Roman" w:hAnsi="Times New Roman"/>
                <w:color w:val="1E293B"/>
                <w:sz w:val="24"/>
              </w:rPr>
              <w:t>High-frequency interaction telemetry streams</w:t>
            </w:r>
          </w:p>
        </w:tc>
        <w:tc>
          <w:tcPr>
            <w:tcW w:type="dxa" w:w="1987"/>
            <w:tcMar>
              <w:top w:w="80" w:type="dxa"/>
              <w:bottom w:w="80" w:type="dxa"/>
              <w:left w:w="100" w:type="dxa"/>
              <w:right w:w="100" w:type="dxa"/>
            </w:tcMar>
          </w:tcPr>
          <w:p>
            <w:r>
              <w:rPr>
                <w:rFonts w:ascii="Times New Roman" w:hAnsi="Times New Roman"/>
                <w:color w:val="1E293B"/>
                <w:sz w:val="24"/>
              </w:rPr>
              <w:t>Creative Commons CC BY 4.0</w:t>
            </w:r>
          </w:p>
        </w:tc>
        <w:tc>
          <w:tcPr>
            <w:tcW w:type="dxa" w:w="1987"/>
            <w:tcMar>
              <w:top w:w="80" w:type="dxa"/>
              <w:bottom w:w="80" w:type="dxa"/>
              <w:left w:w="100" w:type="dxa"/>
              <w:right w:w="100" w:type="dxa"/>
            </w:tcMar>
            <w:shd w:fill="F0FDF4"/>
          </w:tcPr>
          <w:p>
            <w:r>
              <w:rPr>
                <w:rFonts w:ascii="Times New Roman" w:hAnsi="Times New Roman"/>
                <w:color w:val="1E293B"/>
                <w:sz w:val="24"/>
              </w:rPr>
              <w:t>100% Usable (Cognitive State ML Classifier)</w:t>
            </w:r>
          </w:p>
        </w:tc>
      </w:tr>
      <w:tr>
        <w:tc>
          <w:tcPr>
            <w:tcW w:type="dxa" w:w="1987"/>
            <w:tcMar>
              <w:top w:w="80" w:type="dxa"/>
              <w:bottom w:w="80" w:type="dxa"/>
              <w:left w:w="100" w:type="dxa"/>
              <w:right w:w="100" w:type="dxa"/>
            </w:tcMar>
          </w:tcPr>
          <w:p>
            <w:r>
              <w:rPr>
                <w:rFonts w:ascii="Times New Roman" w:hAnsi="Times New Roman"/>
                <w:b/>
                <w:color w:val="1E293B"/>
                <w:sz w:val="24"/>
              </w:rPr>
              <w:t>DIKSHA National Educational Repository</w:t>
            </w:r>
          </w:p>
        </w:tc>
        <w:tc>
          <w:tcPr>
            <w:tcW w:type="dxa" w:w="1987"/>
            <w:tcMar>
              <w:top w:w="80" w:type="dxa"/>
              <w:bottom w:w="80" w:type="dxa"/>
              <w:left w:w="100" w:type="dxa"/>
              <w:right w:w="100" w:type="dxa"/>
            </w:tcMar>
          </w:tcPr>
          <w:p>
            <w:r>
              <w:rPr>
                <w:rFonts w:ascii="Times New Roman" w:hAnsi="Times New Roman"/>
                <w:color w:val="1E293B"/>
                <w:sz w:val="24"/>
              </w:rPr>
              <w:t>Ministry of Education, Govt. of India</w:t>
            </w:r>
          </w:p>
        </w:tc>
        <w:tc>
          <w:tcPr>
            <w:tcW w:type="dxa" w:w="1987"/>
            <w:tcMar>
              <w:top w:w="80" w:type="dxa"/>
              <w:bottom w:w="80" w:type="dxa"/>
              <w:left w:w="100" w:type="dxa"/>
              <w:right w:w="100" w:type="dxa"/>
            </w:tcMar>
          </w:tcPr>
          <w:p>
            <w:r>
              <w:rPr>
                <w:rFonts w:ascii="Times New Roman" w:hAnsi="Times New Roman"/>
                <w:color w:val="1E293B"/>
                <w:sz w:val="24"/>
              </w:rPr>
              <w:t>National Teacher &amp; Learner QR Content Taxonomy</w:t>
            </w:r>
          </w:p>
        </w:tc>
        <w:tc>
          <w:tcPr>
            <w:tcW w:type="dxa" w:w="1987"/>
            <w:tcMar>
              <w:top w:w="80" w:type="dxa"/>
              <w:bottom w:w="80" w:type="dxa"/>
              <w:left w:w="100" w:type="dxa"/>
              <w:right w:w="100" w:type="dxa"/>
            </w:tcMar>
          </w:tcPr>
          <w:p>
            <w:r>
              <w:rPr>
                <w:rFonts w:ascii="Times New Roman" w:hAnsi="Times New Roman"/>
                <w:color w:val="1E293B"/>
                <w:sz w:val="24"/>
              </w:rPr>
              <w:t>GODL-India / Open Digital Resource</w:t>
            </w:r>
          </w:p>
        </w:tc>
        <w:tc>
          <w:tcPr>
            <w:tcW w:type="dxa" w:w="1987"/>
            <w:tcMar>
              <w:top w:w="80" w:type="dxa"/>
              <w:bottom w:w="80" w:type="dxa"/>
              <w:left w:w="100" w:type="dxa"/>
              <w:right w:w="100" w:type="dxa"/>
            </w:tcMar>
            <w:shd w:fill="F0FDF4"/>
          </w:tcPr>
          <w:p>
            <w:r>
              <w:rPr>
                <w:rFonts w:ascii="Times New Roman" w:hAnsi="Times New Roman"/>
                <w:color w:val="1E293B"/>
                <w:sz w:val="24"/>
              </w:rPr>
              <w:t>100% Usable (Learning Outcomes Taxonomy)</w:t>
            </w:r>
          </w:p>
        </w:tc>
      </w:tr>
    </w:tbl>
    <w:p>
      <w:pPr>
        <w:spacing w:before="280" w:after="120" w:line="276" w:lineRule="auto"/>
        <w:jc w:val="left"/>
      </w:pPr>
      <w:r>
        <w:rPr>
          <w:rFonts w:ascii="Times New Roman" w:hAnsi="Times New Roman"/>
          <w:b/>
          <w:color w:val="0F172A"/>
          <w:sz w:val="32"/>
        </w:rPr>
        <w:t>2. Core Pedagogical &amp; Curriculum Datasets (Classes 1–10)</w:t>
      </w:r>
    </w:p>
    <w:p>
      <w:pPr>
        <w:spacing w:before="0" w:after="120" w:line="276" w:lineRule="auto"/>
        <w:jc w:val="left"/>
      </w:pPr>
      <w:r>
        <w:rPr>
          <w:rFonts w:ascii="Times New Roman" w:hAnsi="Times New Roman"/>
          <w:i w:val="0"/>
          <w:color w:val="1E293B"/>
          <w:sz w:val="28"/>
        </w:rPr>
        <w:t>The core educational backbone of NeuroQuest is grounded in the National Curriculum Framework (NCF) and the New Education Policy (NEP 2020). Unlike generic mock tests, every single question, hint, and scaffold ladder in NeuroQuest directly tests authentic topics from official NCERT textbooks.</w:t>
      </w:r>
    </w:p>
    <w:p>
      <w:pPr>
        <w:pStyle w:val="ListBullet"/>
        <w:spacing w:before="0" w:after="80" w:line="276" w:lineRule="auto"/>
      </w:pPr>
      <w:r>
        <w:rPr>
          <w:rFonts w:ascii="Times New Roman" w:hAnsi="Times New Roman"/>
          <w:b/>
          <w:color w:val="0F172A"/>
          <w:sz w:val="28"/>
        </w:rPr>
        <w:t xml:space="preserve">Foundational Stage (Classes 1–2): </w:t>
      </w:r>
      <w:r>
        <w:rPr>
          <w:rFonts w:ascii="Times New Roman" w:hAnsi="Times New Roman"/>
          <w:color w:val="1E293B"/>
          <w:sz w:val="28"/>
        </w:rPr>
        <w:t>Focuses on play, experiential discovery, spatial orientation, early numeracy, and phonics (Math-Magic 1-2, Mridang 1-2, Joyful Mathematics).</w:t>
      </w:r>
    </w:p>
    <w:p>
      <w:pPr>
        <w:pStyle w:val="ListBullet"/>
        <w:spacing w:before="0" w:after="80" w:line="276" w:lineRule="auto"/>
      </w:pPr>
      <w:r>
        <w:rPr>
          <w:rFonts w:ascii="Times New Roman" w:hAnsi="Times New Roman"/>
          <w:b/>
          <w:color w:val="0F172A"/>
          <w:sz w:val="28"/>
        </w:rPr>
        <w:t xml:space="preserve">Preparatory Stage (Classes 3–5): </w:t>
      </w:r>
      <w:r>
        <w:rPr>
          <w:rFonts w:ascii="Times New Roman" w:hAnsi="Times New Roman"/>
          <w:color w:val="1E293B"/>
          <w:sz w:val="28"/>
        </w:rPr>
        <w:t>Introduces basic scientific inquiry, environmental studies (EVS), pattern arithmetic, and narrative comprehension (Looking Around EVS 3-5, Marigold 3-5).</w:t>
      </w:r>
    </w:p>
    <w:p>
      <w:pPr>
        <w:pStyle w:val="ListBullet"/>
        <w:spacing w:before="0" w:after="80" w:line="276" w:lineRule="auto"/>
      </w:pPr>
      <w:r>
        <w:rPr>
          <w:rFonts w:ascii="Times New Roman" w:hAnsi="Times New Roman"/>
          <w:b/>
          <w:color w:val="0F172A"/>
          <w:sz w:val="28"/>
        </w:rPr>
        <w:t xml:space="preserve">Middle Stage (Classes 6–8): </w:t>
      </w:r>
      <w:r>
        <w:rPr>
          <w:rFonts w:ascii="Times New Roman" w:hAnsi="Times New Roman"/>
          <w:color w:val="1E293B"/>
          <w:sz w:val="28"/>
        </w:rPr>
        <w:t>Develops conceptual abstractions, experiments, ratio/integers, and literature analysis (Curiosity Science 6-8, Honeycomb, Honeydew).</w:t>
      </w:r>
    </w:p>
    <w:p>
      <w:pPr>
        <w:pStyle w:val="ListBullet"/>
        <w:spacing w:before="0" w:after="80" w:line="276" w:lineRule="auto"/>
      </w:pPr>
      <w:r>
        <w:rPr>
          <w:rFonts w:ascii="Times New Roman" w:hAnsi="Times New Roman"/>
          <w:b/>
          <w:color w:val="0F172A"/>
          <w:sz w:val="28"/>
        </w:rPr>
        <w:t xml:space="preserve">Secondary Stage (Classes 9–10): </w:t>
      </w:r>
      <w:r>
        <w:rPr>
          <w:rFonts w:ascii="Times New Roman" w:hAnsi="Times New Roman"/>
          <w:color w:val="1E293B"/>
          <w:sz w:val="28"/>
        </w:rPr>
        <w:t>Deep critical thinking, chemical reactions, Newtonian mechanics, and literary comprehension (Beehive, First Flight, NCERT Science 9-10).</w:t>
      </w:r>
    </w:p>
    <w:p>
      <w:pPr>
        <w:spacing w:before="0" w:after="120" w:line="276" w:lineRule="auto"/>
        <w:jc w:val="left"/>
      </w:pPr>
      <w:r>
        <w:rPr>
          <w:rFonts w:ascii="Times New Roman" w:hAnsi="Times New Roman"/>
          <w:b/>
          <w:color w:val="0F172A"/>
          <w:sz w:val="28"/>
        </w:rPr>
        <w:t xml:space="preserve">Scope Breakdown: </w:t>
      </w:r>
      <w:r>
        <w:rPr>
          <w:rFonts w:ascii="Times New Roman" w:hAnsi="Times New Roman"/>
          <w:i w:val="0"/>
          <w:color w:val="1E293B"/>
          <w:sz w:val="28"/>
        </w:rPr>
        <w:t>Summary of Curriculum Coverage in Knowledge Graph (data/curriculum/ncert_knowledge_graph.json):</w:t>
      </w:r>
    </w:p>
    <w:p>
      <w:pPr>
        <w:pStyle w:val="ListBullet"/>
        <w:spacing w:before="0" w:after="80" w:line="276" w:lineRule="auto"/>
      </w:pPr>
      <w:r>
        <w:rPr>
          <w:rFonts w:ascii="Times New Roman" w:hAnsi="Times New Roman"/>
          <w:b/>
          <w:color w:val="0F172A"/>
          <w:sz w:val="28"/>
        </w:rPr>
        <w:t xml:space="preserve">Mathematics: </w:t>
      </w:r>
      <w:r>
        <w:rPr>
          <w:rFonts w:ascii="Times New Roman" w:hAnsi="Times New Roman"/>
          <w:color w:val="1E293B"/>
          <w:sz w:val="28"/>
        </w:rPr>
        <w:t>76 Chapters across 10 standards with structured numeric answers, real formulas, and worked steps.</w:t>
      </w:r>
    </w:p>
    <w:p>
      <w:pPr>
        <w:pStyle w:val="ListBullet"/>
        <w:spacing w:before="0" w:after="80" w:line="276" w:lineRule="auto"/>
      </w:pPr>
      <w:r>
        <w:rPr>
          <w:rFonts w:ascii="Times New Roman" w:hAnsi="Times New Roman"/>
          <w:b/>
          <w:color w:val="0F172A"/>
          <w:sz w:val="28"/>
        </w:rPr>
        <w:t xml:space="preserve">Science / Environmental Studies: </w:t>
      </w:r>
      <w:r>
        <w:rPr>
          <w:rFonts w:ascii="Times New Roman" w:hAnsi="Times New Roman"/>
          <w:color w:val="1E293B"/>
          <w:sz w:val="28"/>
        </w:rPr>
        <w:t>52 Chapters across 10 standards covering Biology, Physics, Chemistry, and Ecology.</w:t>
      </w:r>
    </w:p>
    <w:p>
      <w:pPr>
        <w:pStyle w:val="ListBullet"/>
        <w:spacing w:before="0" w:after="80" w:line="276" w:lineRule="auto"/>
      </w:pPr>
      <w:r>
        <w:rPr>
          <w:rFonts w:ascii="Times New Roman" w:hAnsi="Times New Roman"/>
          <w:b/>
          <w:color w:val="0F172A"/>
          <w:sz w:val="28"/>
        </w:rPr>
        <w:t xml:space="preserve">English Literature &amp; Language: </w:t>
      </w:r>
      <w:r>
        <w:rPr>
          <w:rFonts w:ascii="Times New Roman" w:hAnsi="Times New Roman"/>
          <w:color w:val="1E293B"/>
          <w:sz w:val="28"/>
        </w:rPr>
        <w:t>40 Chapters across 10 standards focusing on prose comprehension, moral inquiry, and grammar.</w:t>
      </w:r>
    </w:p>
    <w:p>
      <w:pPr>
        <w:pStyle w:val="ListBullet"/>
        <w:spacing w:before="0" w:after="80" w:line="276" w:lineRule="auto"/>
      </w:pPr>
      <w:r>
        <w:rPr>
          <w:rFonts w:ascii="Times New Roman" w:hAnsi="Times New Roman"/>
          <w:b/>
          <w:color w:val="0F172A"/>
          <w:sz w:val="28"/>
        </w:rPr>
        <w:t xml:space="preserve">Total Verified Chapters &amp; Tasks: </w:t>
      </w:r>
      <w:r>
        <w:rPr>
          <w:rFonts w:ascii="Times New Roman" w:hAnsi="Times New Roman"/>
          <w:color w:val="1E293B"/>
          <w:sz w:val="28"/>
        </w:rPr>
        <w:t>Exactly 168 authentic chapters and 168 scaffolded question sets with zero generic placeholder options.</w:t>
      </w:r>
    </w:p>
    <w:p>
      <w:pPr>
        <w:spacing w:before="280" w:after="120" w:line="276" w:lineRule="auto"/>
        <w:jc w:val="left"/>
      </w:pPr>
      <w:r>
        <w:rPr>
          <w:rFonts w:ascii="Times New Roman" w:hAnsi="Times New Roman"/>
          <w:b/>
          <w:color w:val="0F172A"/>
          <w:sz w:val="32"/>
        </w:rPr>
        <w:t>3. Neurodivergent Learner Personalization &amp; Behavioral Benchmarks (WALS)</w:t>
      </w:r>
    </w:p>
    <w:p>
      <w:pPr>
        <w:spacing w:before="0" w:after="120" w:line="276" w:lineRule="auto"/>
        <w:jc w:val="left"/>
      </w:pPr>
      <w:r>
        <w:rPr>
          <w:rFonts w:ascii="Times New Roman" w:hAnsi="Times New Roman"/>
          <w:i w:val="0"/>
          <w:color w:val="1E293B"/>
          <w:sz w:val="28"/>
        </w:rPr>
        <w:t>To configure evidence-based default settings for neurodivergent learners without subjecting them to intrusive diagnostic tests, NeuroQuest integrates the WALS Neurodivergent Learner Personalization Dataset (10,000 session records). The statistical distributions directly establish the defaults for our Live Theme Engine and Pacing Engine.</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00" w:type="dxa"/>
              <w:bottom w:w="100" w:type="dxa"/>
              <w:left w:w="120" w:type="dxa"/>
              <w:right w:w="120" w:type="dxa"/>
            </w:tcMar>
          </w:tcPr>
          <w:p>
            <w:r>
              <w:rPr>
                <w:rFonts w:ascii="Times New Roman" w:hAnsi="Times New Roman"/>
                <w:b/>
                <w:color w:val="FFFFFF"/>
                <w:sz w:val="28"/>
              </w:rPr>
              <w:t>Personalization Variable</w:t>
            </w:r>
          </w:p>
        </w:tc>
        <w:tc>
          <w:tcPr>
            <w:tcW w:type="dxa" w:w="3312"/>
            <w:shd w:fill="1E293B"/>
            <w:tcMar>
              <w:top w:w="100" w:type="dxa"/>
              <w:bottom w:w="100" w:type="dxa"/>
              <w:left w:w="120" w:type="dxa"/>
              <w:right w:w="120" w:type="dxa"/>
            </w:tcMar>
          </w:tcPr>
          <w:p>
            <w:r>
              <w:rPr>
                <w:rFonts w:ascii="Times New Roman" w:hAnsi="Times New Roman"/>
                <w:b/>
                <w:color w:val="FFFFFF"/>
                <w:sz w:val="28"/>
              </w:rPr>
              <w:t>WALS Empirical Distribution (N=10,000)</w:t>
            </w:r>
          </w:p>
        </w:tc>
        <w:tc>
          <w:tcPr>
            <w:tcW w:type="dxa" w:w="3312"/>
            <w:shd w:fill="1E293B"/>
            <w:tcMar>
              <w:top w:w="100" w:type="dxa"/>
              <w:bottom w:w="100" w:type="dxa"/>
              <w:left w:w="120" w:type="dxa"/>
              <w:right w:w="120" w:type="dxa"/>
            </w:tcMar>
          </w:tcPr>
          <w:p>
            <w:r>
              <w:rPr>
                <w:rFonts w:ascii="Times New Roman" w:hAnsi="Times New Roman"/>
                <w:b/>
                <w:color w:val="FFFFFF"/>
                <w:sz w:val="28"/>
              </w:rPr>
              <w:t>NeuroQuest Architecture Implementation</w:t>
            </w:r>
          </w:p>
        </w:tc>
      </w:tr>
      <w:tr>
        <w:tc>
          <w:tcPr>
            <w:tcW w:type="dxa" w:w="3312"/>
            <w:tcMar>
              <w:top w:w="80" w:type="dxa"/>
              <w:bottom w:w="80" w:type="dxa"/>
              <w:left w:w="100" w:type="dxa"/>
              <w:right w:w="100" w:type="dxa"/>
            </w:tcMar>
          </w:tcPr>
          <w:p>
            <w:r>
              <w:rPr>
                <w:rFonts w:ascii="Times New Roman" w:hAnsi="Times New Roman"/>
                <w:b/>
                <w:color w:val="1E293B"/>
                <w:sz w:val="24"/>
              </w:rPr>
              <w:t>Session Duration</w:t>
            </w:r>
          </w:p>
        </w:tc>
        <w:tc>
          <w:tcPr>
            <w:tcW w:type="dxa" w:w="3312"/>
            <w:tcMar>
              <w:top w:w="80" w:type="dxa"/>
              <w:bottom w:w="80" w:type="dxa"/>
              <w:left w:w="100" w:type="dxa"/>
              <w:right w:w="100" w:type="dxa"/>
            </w:tcMar>
          </w:tcPr>
          <w:p>
            <w:r>
              <w:rPr>
                <w:rFonts w:ascii="Times New Roman" w:hAnsi="Times New Roman"/>
                <w:color w:val="1E293B"/>
                <w:sz w:val="24"/>
              </w:rPr>
              <w:t>Mean: 18.18 mins (Std: 7.01 mins, P25: 13.3m, P75: 22.8m)</w:t>
            </w:r>
          </w:p>
        </w:tc>
        <w:tc>
          <w:tcPr>
            <w:tcW w:type="dxa" w:w="3312"/>
            <w:tcMar>
              <w:top w:w="80" w:type="dxa"/>
              <w:bottom w:w="80" w:type="dxa"/>
              <w:left w:w="100" w:type="dxa"/>
              <w:right w:w="100" w:type="dxa"/>
            </w:tcMar>
          </w:tcPr>
          <w:p>
            <w:r>
              <w:rPr>
                <w:rFonts w:ascii="Times New Roman" w:hAnsi="Times New Roman"/>
                <w:color w:val="1E293B"/>
                <w:sz w:val="24"/>
              </w:rPr>
              <w:t>Caps quest sessions at 15–18 minutes with gentle mid-session breathers</w:t>
            </w:r>
          </w:p>
        </w:tc>
      </w:tr>
      <w:tr>
        <w:tc>
          <w:tcPr>
            <w:tcW w:type="dxa" w:w="3312"/>
            <w:tcMar>
              <w:top w:w="80" w:type="dxa"/>
              <w:bottom w:w="80" w:type="dxa"/>
              <w:left w:w="100" w:type="dxa"/>
              <w:right w:w="100" w:type="dxa"/>
            </w:tcMar>
          </w:tcPr>
          <w:p>
            <w:r>
              <w:rPr>
                <w:rFonts w:ascii="Times New Roman" w:hAnsi="Times New Roman"/>
                <w:b/>
                <w:color w:val="1E293B"/>
                <w:sz w:val="24"/>
              </w:rPr>
              <w:t>Dyslexic Font Adoption</w:t>
            </w:r>
          </w:p>
        </w:tc>
        <w:tc>
          <w:tcPr>
            <w:tcW w:type="dxa" w:w="3312"/>
            <w:tcMar>
              <w:top w:w="80" w:type="dxa"/>
              <w:bottom w:w="80" w:type="dxa"/>
              <w:left w:w="100" w:type="dxa"/>
              <w:right w:w="100" w:type="dxa"/>
            </w:tcMar>
          </w:tcPr>
          <w:p>
            <w:r>
              <w:rPr>
                <w:rFonts w:ascii="Times New Roman" w:hAnsi="Times New Roman"/>
                <w:color w:val="1E293B"/>
                <w:sz w:val="24"/>
              </w:rPr>
              <w:t>43.9% prefer Dyslexia-friendly fonts; 56.1% Standard</w:t>
            </w:r>
          </w:p>
        </w:tc>
        <w:tc>
          <w:tcPr>
            <w:tcW w:type="dxa" w:w="3312"/>
            <w:tcMar>
              <w:top w:w="80" w:type="dxa"/>
              <w:bottom w:w="80" w:type="dxa"/>
              <w:left w:w="100" w:type="dxa"/>
              <w:right w:w="100" w:type="dxa"/>
            </w:tcMar>
          </w:tcPr>
          <w:p>
            <w:r>
              <w:rPr>
                <w:rFonts w:ascii="Times New Roman" w:hAnsi="Times New Roman"/>
                <w:color w:val="1E293B"/>
                <w:sz w:val="24"/>
              </w:rPr>
              <w:t>Bundles OpenDyslexic and Lexend fonts with one-click toggle in Settings</w:t>
            </w:r>
          </w:p>
        </w:tc>
      </w:tr>
      <w:tr>
        <w:tc>
          <w:tcPr>
            <w:tcW w:type="dxa" w:w="3312"/>
            <w:tcMar>
              <w:top w:w="80" w:type="dxa"/>
              <w:bottom w:w="80" w:type="dxa"/>
              <w:left w:w="100" w:type="dxa"/>
              <w:right w:w="100" w:type="dxa"/>
            </w:tcMar>
          </w:tcPr>
          <w:p>
            <w:r>
              <w:rPr>
                <w:rFonts w:ascii="Times New Roman" w:hAnsi="Times New Roman"/>
                <w:b/>
                <w:color w:val="1E293B"/>
                <w:sz w:val="24"/>
              </w:rPr>
              <w:t>Font Size Preferences</w:t>
            </w:r>
          </w:p>
        </w:tc>
        <w:tc>
          <w:tcPr>
            <w:tcW w:type="dxa" w:w="3312"/>
            <w:tcMar>
              <w:top w:w="80" w:type="dxa"/>
              <w:bottom w:w="80" w:type="dxa"/>
              <w:left w:w="100" w:type="dxa"/>
              <w:right w:w="100" w:type="dxa"/>
            </w:tcMar>
          </w:tcPr>
          <w:p>
            <w:r>
              <w:rPr>
                <w:rFonts w:ascii="Times New Roman" w:hAnsi="Times New Roman"/>
                <w:color w:val="1E293B"/>
                <w:sz w:val="24"/>
              </w:rPr>
              <w:t>Dominant: 14pt (10.6%), 15pt (11.1%), 16pt (11.2%), 17pt (10.0%)</w:t>
            </w:r>
          </w:p>
        </w:tc>
        <w:tc>
          <w:tcPr>
            <w:tcW w:type="dxa" w:w="3312"/>
            <w:tcMar>
              <w:top w:w="80" w:type="dxa"/>
              <w:bottom w:w="80" w:type="dxa"/>
              <w:left w:w="100" w:type="dxa"/>
              <w:right w:w="100" w:type="dxa"/>
            </w:tcMar>
          </w:tcPr>
          <w:p>
            <w:r>
              <w:rPr>
                <w:rFonts w:ascii="Times New Roman" w:hAnsi="Times New Roman"/>
                <w:color w:val="1E293B"/>
                <w:sz w:val="24"/>
              </w:rPr>
              <w:t>Defaults body text to 14–16pt with dynamic zoom controls (Small, Medium, Large)</w:t>
            </w:r>
          </w:p>
        </w:tc>
      </w:tr>
      <w:tr>
        <w:tc>
          <w:tcPr>
            <w:tcW w:type="dxa" w:w="3312"/>
            <w:tcMar>
              <w:top w:w="80" w:type="dxa"/>
              <w:bottom w:w="80" w:type="dxa"/>
              <w:left w:w="100" w:type="dxa"/>
              <w:right w:w="100" w:type="dxa"/>
            </w:tcMar>
          </w:tcPr>
          <w:p>
            <w:r>
              <w:rPr>
                <w:rFonts w:ascii="Times New Roman" w:hAnsi="Times New Roman"/>
                <w:b/>
                <w:color w:val="1E293B"/>
                <w:sz w:val="24"/>
              </w:rPr>
              <w:t>Color Theme Selection</w:t>
            </w:r>
          </w:p>
        </w:tc>
        <w:tc>
          <w:tcPr>
            <w:tcW w:type="dxa" w:w="3312"/>
            <w:tcMar>
              <w:top w:w="80" w:type="dxa"/>
              <w:bottom w:w="80" w:type="dxa"/>
              <w:left w:w="100" w:type="dxa"/>
              <w:right w:w="100" w:type="dxa"/>
            </w:tcMar>
          </w:tcPr>
          <w:p>
            <w:r>
              <w:rPr>
                <w:rFonts w:ascii="Times New Roman" w:hAnsi="Times New Roman"/>
                <w:color w:val="1E293B"/>
                <w:sz w:val="24"/>
              </w:rPr>
              <w:t>Low-Stimulation Pastel: 24.6%, High-Contrast: 21.5%, Dark: 21.1%</w:t>
            </w:r>
          </w:p>
        </w:tc>
        <w:tc>
          <w:tcPr>
            <w:tcW w:type="dxa" w:w="3312"/>
            <w:tcMar>
              <w:top w:w="80" w:type="dxa"/>
              <w:bottom w:w="80" w:type="dxa"/>
              <w:left w:w="100" w:type="dxa"/>
              <w:right w:w="100" w:type="dxa"/>
            </w:tcMar>
          </w:tcPr>
          <w:p>
            <w:r>
              <w:rPr>
                <w:rFonts w:ascii="Times New Roman" w:hAnsi="Times New Roman"/>
                <w:color w:val="1E293B"/>
                <w:sz w:val="24"/>
              </w:rPr>
              <w:t>Pre-configures 7 sensory palettes including Calm Blue, Forest Emerald, High-Contrast</w:t>
            </w:r>
          </w:p>
        </w:tc>
      </w:tr>
      <w:tr>
        <w:tc>
          <w:tcPr>
            <w:tcW w:type="dxa" w:w="3312"/>
            <w:tcMar>
              <w:top w:w="80" w:type="dxa"/>
              <w:bottom w:w="80" w:type="dxa"/>
              <w:left w:w="100" w:type="dxa"/>
              <w:right w:w="100" w:type="dxa"/>
            </w:tcMar>
          </w:tcPr>
          <w:p>
            <w:r>
              <w:rPr>
                <w:rFonts w:ascii="Times New Roman" w:hAnsi="Times New Roman"/>
                <w:b/>
                <w:color w:val="1E293B"/>
                <w:sz w:val="24"/>
              </w:rPr>
              <w:t>Screen Layout Modes</w:t>
            </w:r>
          </w:p>
        </w:tc>
        <w:tc>
          <w:tcPr>
            <w:tcW w:type="dxa" w:w="3312"/>
            <w:tcMar>
              <w:top w:w="80" w:type="dxa"/>
              <w:bottom w:w="80" w:type="dxa"/>
              <w:left w:w="100" w:type="dxa"/>
              <w:right w:w="100" w:type="dxa"/>
            </w:tcMar>
          </w:tcPr>
          <w:p>
            <w:r>
              <w:rPr>
                <w:rFonts w:ascii="Times New Roman" w:hAnsi="Times New Roman"/>
                <w:color w:val="1E293B"/>
                <w:sz w:val="24"/>
              </w:rPr>
              <w:t>Distraction-Free: 38.3%, Simplified: 32.2%, Standard: 29.5%</w:t>
            </w:r>
          </w:p>
        </w:tc>
        <w:tc>
          <w:tcPr>
            <w:tcW w:type="dxa" w:w="3312"/>
            <w:tcMar>
              <w:top w:w="80" w:type="dxa"/>
              <w:bottom w:w="80" w:type="dxa"/>
              <w:left w:w="100" w:type="dxa"/>
              <w:right w:w="100" w:type="dxa"/>
            </w:tcMar>
          </w:tcPr>
          <w:p>
            <w:r>
              <w:rPr>
                <w:rFonts w:ascii="Times New Roman" w:hAnsi="Times New Roman"/>
                <w:color w:val="1E293B"/>
                <w:sz w:val="24"/>
              </w:rPr>
              <w:t>Offers Spacious Minimal, Balanced, and Focus modes with zero extraneous graphics</w:t>
            </w:r>
          </w:p>
        </w:tc>
      </w:tr>
      <w:tr>
        <w:tc>
          <w:tcPr>
            <w:tcW w:type="dxa" w:w="3312"/>
            <w:tcMar>
              <w:top w:w="80" w:type="dxa"/>
              <w:bottom w:w="80" w:type="dxa"/>
              <w:left w:w="100" w:type="dxa"/>
              <w:right w:w="100" w:type="dxa"/>
            </w:tcMar>
          </w:tcPr>
          <w:p>
            <w:r>
              <w:rPr>
                <w:rFonts w:ascii="Times New Roman" w:hAnsi="Times New Roman"/>
                <w:b/>
                <w:color w:val="1E293B"/>
                <w:sz w:val="24"/>
              </w:rPr>
              <w:t>Audio Narration / TTS</w:t>
            </w:r>
          </w:p>
        </w:tc>
        <w:tc>
          <w:tcPr>
            <w:tcW w:type="dxa" w:w="3312"/>
            <w:tcMar>
              <w:top w:w="80" w:type="dxa"/>
              <w:bottom w:w="80" w:type="dxa"/>
              <w:left w:w="100" w:type="dxa"/>
              <w:right w:w="100" w:type="dxa"/>
            </w:tcMar>
          </w:tcPr>
          <w:p>
            <w:r>
              <w:rPr>
                <w:rFonts w:ascii="Times New Roman" w:hAnsi="Times New Roman"/>
                <w:color w:val="1E293B"/>
                <w:sz w:val="24"/>
              </w:rPr>
              <w:t>44.9% active Text-To-Speech adoption rate</w:t>
            </w:r>
          </w:p>
        </w:tc>
        <w:tc>
          <w:tcPr>
            <w:tcW w:type="dxa" w:w="3312"/>
            <w:tcMar>
              <w:top w:w="80" w:type="dxa"/>
              <w:bottom w:w="80" w:type="dxa"/>
              <w:left w:w="100" w:type="dxa"/>
              <w:right w:w="100" w:type="dxa"/>
            </w:tcMar>
          </w:tcPr>
          <w:p>
            <w:r>
              <w:rPr>
                <w:rFonts w:ascii="Times New Roman" w:hAnsi="Times New Roman"/>
                <w:color w:val="1E293B"/>
                <w:sz w:val="24"/>
              </w:rPr>
              <w:t>Every question prompt and hint provides on-demand Audio TTS narration</w:t>
            </w:r>
          </w:p>
        </w:tc>
      </w:tr>
    </w:tbl>
    <w:p>
      <w:pPr>
        <w:spacing w:before="280" w:after="120" w:line="276" w:lineRule="auto"/>
        <w:jc w:val="left"/>
      </w:pPr>
      <w:r>
        <w:rPr>
          <w:rFonts w:ascii="Times New Roman" w:hAnsi="Times New Roman"/>
          <w:b/>
          <w:color w:val="0F172A"/>
          <w:sz w:val="32"/>
        </w:rPr>
        <w:t>4. Behavioral Screening &amp; Non-Diagnostic Baseline Datasets (AQ-10 &amp; ICMR)</w:t>
      </w:r>
    </w:p>
    <w:p>
      <w:pPr>
        <w:spacing w:before="0" w:after="120" w:line="276" w:lineRule="auto"/>
        <w:jc w:val="left"/>
      </w:pPr>
      <w:r>
        <w:rPr>
          <w:rFonts w:ascii="Times New Roman" w:hAnsi="Times New Roman"/>
          <w:i w:val="0"/>
          <w:color w:val="1E293B"/>
          <w:sz w:val="28"/>
        </w:rPr>
        <w:t>A critical innovation presented to the jury is our Educational Translation Pipeline. Clinical datasets such as the Autism Spectrum Disorder Screening Dataset (AQ-10 Child &amp; Adolescent) and the ICMR Pediatric Neurodevelopmental Tool often risk pathologizing students. NeuroQuest strips away all clinical diagnostics and converts behavioral indicators into classroom accommodations.</w:t>
      </w:r>
    </w:p>
    <w:p>
      <w:pPr>
        <w:spacing w:before="0" w:after="120" w:line="276" w:lineRule="auto"/>
        <w:jc w:val="left"/>
      </w:pPr>
      <w:r>
        <w:rPr>
          <w:rFonts w:ascii="Times New Roman" w:hAnsi="Times New Roman"/>
          <w:b/>
          <w:color w:val="0F172A"/>
          <w:sz w:val="28"/>
        </w:rPr>
        <w:t xml:space="preserve">Educational Translation Pipeline: </w:t>
      </w:r>
      <w:r>
        <w:rPr>
          <w:rFonts w:ascii="Times New Roman" w:hAnsi="Times New Roman"/>
          <w:i w:val="0"/>
          <w:color w:val="1E293B"/>
          <w:sz w:val="28"/>
        </w:rPr>
        <w:t>The 4-Stage Ethical Translation Process:</w:t>
      </w:r>
    </w:p>
    <w:p>
      <w:pPr>
        <w:pStyle w:val="ListBullet"/>
        <w:spacing w:before="0" w:after="80" w:line="276" w:lineRule="auto"/>
      </w:pPr>
      <w:r>
        <w:rPr>
          <w:rFonts w:ascii="Times New Roman" w:hAnsi="Times New Roman"/>
          <w:b/>
          <w:color w:val="0F172A"/>
          <w:sz w:val="28"/>
        </w:rPr>
        <w:t xml:space="preserve">Stage 1 (Clinical Extraction): </w:t>
      </w:r>
      <w:r>
        <w:rPr>
          <w:rFonts w:ascii="Times New Roman" w:hAnsi="Times New Roman"/>
          <w:color w:val="1E293B"/>
          <w:sz w:val="28"/>
        </w:rPr>
        <w:t>Extract validated screening items measuring sensory reactivity, attention switching, and literal language.</w:t>
      </w:r>
    </w:p>
    <w:p>
      <w:pPr>
        <w:pStyle w:val="ListBullet"/>
        <w:spacing w:before="0" w:after="80" w:line="276" w:lineRule="auto"/>
      </w:pPr>
      <w:r>
        <w:rPr>
          <w:rFonts w:ascii="Times New Roman" w:hAnsi="Times New Roman"/>
          <w:b/>
          <w:color w:val="0F172A"/>
          <w:sz w:val="28"/>
        </w:rPr>
        <w:t xml:space="preserve">Stage 2 (Diagnostic Purging): </w:t>
      </w:r>
      <w:r>
        <w:rPr>
          <w:rFonts w:ascii="Times New Roman" w:hAnsi="Times New Roman"/>
          <w:color w:val="1E293B"/>
          <w:sz w:val="28"/>
        </w:rPr>
        <w:t>Permanently delete clinical cut-off scores, ASD severity scores, medication logs, and EEG flags. Zero medical terms are ever shown to users.</w:t>
      </w:r>
    </w:p>
    <w:p>
      <w:pPr>
        <w:pStyle w:val="ListBullet"/>
        <w:spacing w:before="0" w:after="80" w:line="276" w:lineRule="auto"/>
      </w:pPr>
      <w:r>
        <w:rPr>
          <w:rFonts w:ascii="Times New Roman" w:hAnsi="Times New Roman"/>
          <w:b/>
          <w:color w:val="0F172A"/>
          <w:sz w:val="28"/>
        </w:rPr>
        <w:t xml:space="preserve">Stage 3 (Pedagogical Re-framing): </w:t>
      </w:r>
      <w:r>
        <w:rPr>
          <w:rFonts w:ascii="Times New Roman" w:hAnsi="Times New Roman"/>
          <w:color w:val="1E293B"/>
          <w:sz w:val="28"/>
        </w:rPr>
        <w:t>Convert diagnostic items into observable learning support questions (e.g., 'Difficulty following long conversations' becomes 'Formats companion dialogues into direct, structured cards').</w:t>
      </w:r>
    </w:p>
    <w:p>
      <w:pPr>
        <w:pStyle w:val="ListBullet"/>
        <w:spacing w:before="0" w:after="80" w:line="276" w:lineRule="auto"/>
      </w:pPr>
      <w:r>
        <w:rPr>
          <w:rFonts w:ascii="Times New Roman" w:hAnsi="Times New Roman"/>
          <w:b/>
          <w:color w:val="0F172A"/>
          <w:sz w:val="28"/>
        </w:rPr>
        <w:t xml:space="preserve">Stage 4 (Support Dimension Vector): </w:t>
      </w:r>
      <w:r>
        <w:rPr>
          <w:rFonts w:ascii="Times New Roman" w:hAnsi="Times New Roman"/>
          <w:color w:val="1E293B"/>
          <w:sz w:val="28"/>
        </w:rPr>
        <w:t>The 20-question caregiver baseline calculates 10 Educational Support Dimensions displayed on an interactive radar chart.</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100" w:type="dxa"/>
              <w:bottom w:w="100" w:type="dxa"/>
              <w:left w:w="120" w:type="dxa"/>
              <w:right w:w="120" w:type="dxa"/>
            </w:tcMar>
          </w:tcPr>
          <w:p>
            <w:r>
              <w:rPr>
                <w:rFonts w:ascii="Times New Roman" w:hAnsi="Times New Roman"/>
                <w:b/>
                <w:color w:val="FFFFFF"/>
                <w:sz w:val="28"/>
              </w:rPr>
              <w:t>Source Dataset &amp; Item</w:t>
            </w:r>
          </w:p>
        </w:tc>
        <w:tc>
          <w:tcPr>
            <w:tcW w:type="dxa" w:w="2484"/>
            <w:shd w:fill="1E293B"/>
            <w:tcMar>
              <w:top w:w="100" w:type="dxa"/>
              <w:bottom w:w="100" w:type="dxa"/>
              <w:left w:w="120" w:type="dxa"/>
              <w:right w:w="120" w:type="dxa"/>
            </w:tcMar>
          </w:tcPr>
          <w:p>
            <w:r>
              <w:rPr>
                <w:rFonts w:ascii="Times New Roman" w:hAnsi="Times New Roman"/>
                <w:b/>
                <w:color w:val="FFFFFF"/>
                <w:sz w:val="28"/>
              </w:rPr>
              <w:t>Clinical Variable</w:t>
            </w:r>
          </w:p>
        </w:tc>
        <w:tc>
          <w:tcPr>
            <w:tcW w:type="dxa" w:w="2484"/>
            <w:shd w:fill="1E293B"/>
            <w:tcMar>
              <w:top w:w="100" w:type="dxa"/>
              <w:bottom w:w="100" w:type="dxa"/>
              <w:left w:w="120" w:type="dxa"/>
              <w:right w:w="120" w:type="dxa"/>
            </w:tcMar>
          </w:tcPr>
          <w:p>
            <w:r>
              <w:rPr>
                <w:rFonts w:ascii="Times New Roman" w:hAnsi="Times New Roman"/>
                <w:b/>
                <w:color w:val="FFFFFF"/>
                <w:sz w:val="28"/>
              </w:rPr>
              <w:t>Translated Non-Diagnostic Question</w:t>
            </w:r>
          </w:p>
        </w:tc>
        <w:tc>
          <w:tcPr>
            <w:tcW w:type="dxa" w:w="2484"/>
            <w:shd w:fill="1E293B"/>
            <w:tcMar>
              <w:top w:w="100" w:type="dxa"/>
              <w:bottom w:w="100" w:type="dxa"/>
              <w:left w:w="120" w:type="dxa"/>
              <w:right w:w="120" w:type="dxa"/>
            </w:tcMar>
          </w:tcPr>
          <w:p>
            <w:r>
              <w:rPr>
                <w:rFonts w:ascii="Times New Roman" w:hAnsi="Times New Roman"/>
                <w:b/>
                <w:color w:val="FFFFFF"/>
                <w:sz w:val="28"/>
              </w:rPr>
              <w:t>Platform UI Adaptation</w:t>
            </w:r>
          </w:p>
        </w:tc>
      </w:tr>
      <w:tr>
        <w:tc>
          <w:tcPr>
            <w:tcW w:type="dxa" w:w="2484"/>
            <w:tcMar>
              <w:top w:w="80" w:type="dxa"/>
              <w:bottom w:w="80" w:type="dxa"/>
              <w:left w:w="100" w:type="dxa"/>
              <w:right w:w="100" w:type="dxa"/>
            </w:tcMar>
          </w:tcPr>
          <w:p>
            <w:r>
              <w:rPr>
                <w:rFonts w:ascii="Times New Roman" w:hAnsi="Times New Roman"/>
                <w:b/>
                <w:color w:val="1E293B"/>
                <w:sz w:val="24"/>
              </w:rPr>
              <w:t>AQ-10 Child (Item A1)</w:t>
            </w:r>
          </w:p>
        </w:tc>
        <w:tc>
          <w:tcPr>
            <w:tcW w:type="dxa" w:w="2484"/>
            <w:tcMar>
              <w:top w:w="80" w:type="dxa"/>
              <w:bottom w:w="80" w:type="dxa"/>
              <w:left w:w="100" w:type="dxa"/>
              <w:right w:w="100" w:type="dxa"/>
            </w:tcMar>
          </w:tcPr>
          <w:p>
            <w:r>
              <w:rPr>
                <w:rFonts w:ascii="Times New Roman" w:hAnsi="Times New Roman"/>
                <w:color w:val="1E293B"/>
                <w:sz w:val="24"/>
              </w:rPr>
              <w:t>Attention to Detail / Small Sounds</w:t>
            </w:r>
          </w:p>
        </w:tc>
        <w:tc>
          <w:tcPr>
            <w:tcW w:type="dxa" w:w="2484"/>
            <w:tcMar>
              <w:top w:w="80" w:type="dxa"/>
              <w:bottom w:w="80" w:type="dxa"/>
              <w:left w:w="100" w:type="dxa"/>
              <w:right w:w="100" w:type="dxa"/>
            </w:tcMar>
          </w:tcPr>
          <w:p>
            <w:r>
              <w:rPr>
                <w:rFonts w:ascii="Times New Roman" w:hAnsi="Times New Roman"/>
                <w:color w:val="1E293B"/>
                <w:sz w:val="24"/>
              </w:rPr>
              <w:t>How easily is the student drawn away by subtle background noises or visual movements?</w:t>
            </w:r>
          </w:p>
        </w:tc>
        <w:tc>
          <w:tcPr>
            <w:tcW w:type="dxa" w:w="2484"/>
            <w:tcMar>
              <w:top w:w="80" w:type="dxa"/>
              <w:bottom w:w="80" w:type="dxa"/>
              <w:left w:w="100" w:type="dxa"/>
              <w:right w:w="100" w:type="dxa"/>
            </w:tcMar>
          </w:tcPr>
          <w:p>
            <w:r>
              <w:rPr>
                <w:rFonts w:ascii="Times New Roman" w:hAnsi="Times New Roman"/>
                <w:color w:val="1E293B"/>
                <w:sz w:val="24"/>
              </w:rPr>
              <w:t>Pre-activates Quiet Mode and Spacious Minimal visual density</w:t>
            </w:r>
          </w:p>
        </w:tc>
      </w:tr>
      <w:tr>
        <w:tc>
          <w:tcPr>
            <w:tcW w:type="dxa" w:w="2484"/>
            <w:tcMar>
              <w:top w:w="80" w:type="dxa"/>
              <w:bottom w:w="80" w:type="dxa"/>
              <w:left w:w="100" w:type="dxa"/>
              <w:right w:w="100" w:type="dxa"/>
            </w:tcMar>
          </w:tcPr>
          <w:p>
            <w:r>
              <w:rPr>
                <w:rFonts w:ascii="Times New Roman" w:hAnsi="Times New Roman"/>
                <w:b/>
                <w:color w:val="1E293B"/>
                <w:sz w:val="24"/>
              </w:rPr>
              <w:t>AQ-10 Child (Item A6)</w:t>
            </w:r>
          </w:p>
        </w:tc>
        <w:tc>
          <w:tcPr>
            <w:tcW w:type="dxa" w:w="2484"/>
            <w:tcMar>
              <w:top w:w="80" w:type="dxa"/>
              <w:bottom w:w="80" w:type="dxa"/>
              <w:left w:w="100" w:type="dxa"/>
              <w:right w:w="100" w:type="dxa"/>
            </w:tcMar>
          </w:tcPr>
          <w:p>
            <w:r>
              <w:rPr>
                <w:rFonts w:ascii="Times New Roman" w:hAnsi="Times New Roman"/>
                <w:color w:val="1E293B"/>
                <w:sz w:val="24"/>
              </w:rPr>
              <w:t>Pragmatic Language Comprehension</w:t>
            </w:r>
          </w:p>
        </w:tc>
        <w:tc>
          <w:tcPr>
            <w:tcW w:type="dxa" w:w="2484"/>
            <w:tcMar>
              <w:top w:w="80" w:type="dxa"/>
              <w:bottom w:w="80" w:type="dxa"/>
              <w:left w:w="100" w:type="dxa"/>
              <w:right w:w="100" w:type="dxa"/>
            </w:tcMar>
          </w:tcPr>
          <w:p>
            <w:r>
              <w:rPr>
                <w:rFonts w:ascii="Times New Roman" w:hAnsi="Times New Roman"/>
                <w:color w:val="1E293B"/>
                <w:sz w:val="24"/>
              </w:rPr>
              <w:t>Does the student find casual slang or ambiguous conversational idioms confusing?</w:t>
            </w:r>
          </w:p>
        </w:tc>
        <w:tc>
          <w:tcPr>
            <w:tcW w:type="dxa" w:w="2484"/>
            <w:tcMar>
              <w:top w:w="80" w:type="dxa"/>
              <w:bottom w:w="80" w:type="dxa"/>
              <w:left w:w="100" w:type="dxa"/>
              <w:right w:w="100" w:type="dxa"/>
            </w:tcMar>
          </w:tcPr>
          <w:p>
            <w:r>
              <w:rPr>
                <w:rFonts w:ascii="Times New Roman" w:hAnsi="Times New Roman"/>
                <w:color w:val="1E293B"/>
                <w:sz w:val="24"/>
              </w:rPr>
              <w:t>Delivers instructions using clear, literal, and unambiguous language cards</w:t>
            </w:r>
          </w:p>
        </w:tc>
      </w:tr>
      <w:tr>
        <w:tc>
          <w:tcPr>
            <w:tcW w:type="dxa" w:w="2484"/>
            <w:tcMar>
              <w:top w:w="80" w:type="dxa"/>
              <w:bottom w:w="80" w:type="dxa"/>
              <w:left w:w="100" w:type="dxa"/>
              <w:right w:w="100" w:type="dxa"/>
            </w:tcMar>
          </w:tcPr>
          <w:p>
            <w:r>
              <w:rPr>
                <w:rFonts w:ascii="Times New Roman" w:hAnsi="Times New Roman"/>
                <w:b/>
                <w:color w:val="1E293B"/>
                <w:sz w:val="24"/>
              </w:rPr>
              <w:t>AQ-10 Child (Item A7)</w:t>
            </w:r>
          </w:p>
        </w:tc>
        <w:tc>
          <w:tcPr>
            <w:tcW w:type="dxa" w:w="2484"/>
            <w:tcMar>
              <w:top w:w="80" w:type="dxa"/>
              <w:bottom w:w="80" w:type="dxa"/>
              <w:left w:w="100" w:type="dxa"/>
              <w:right w:w="100" w:type="dxa"/>
            </w:tcMar>
          </w:tcPr>
          <w:p>
            <w:r>
              <w:rPr>
                <w:rFonts w:ascii="Times New Roman" w:hAnsi="Times New Roman"/>
                <w:color w:val="1E293B"/>
                <w:sz w:val="24"/>
              </w:rPr>
              <w:t>Theory of Mind / Narrative Inference</w:t>
            </w:r>
          </w:p>
        </w:tc>
        <w:tc>
          <w:tcPr>
            <w:tcW w:type="dxa" w:w="2484"/>
            <w:tcMar>
              <w:top w:w="80" w:type="dxa"/>
              <w:bottom w:w="80" w:type="dxa"/>
              <w:left w:w="100" w:type="dxa"/>
              <w:right w:w="100" w:type="dxa"/>
            </w:tcMar>
          </w:tcPr>
          <w:p>
            <w:r>
              <w:rPr>
                <w:rFonts w:ascii="Times New Roman" w:hAnsi="Times New Roman"/>
                <w:color w:val="1E293B"/>
                <w:sz w:val="24"/>
              </w:rPr>
              <w:t>When reading a story, is it difficult for the student to infer character subtext?</w:t>
            </w:r>
          </w:p>
        </w:tc>
        <w:tc>
          <w:tcPr>
            <w:tcW w:type="dxa" w:w="2484"/>
            <w:tcMar>
              <w:top w:w="80" w:type="dxa"/>
              <w:bottom w:w="80" w:type="dxa"/>
              <w:left w:w="100" w:type="dxa"/>
              <w:right w:w="100" w:type="dxa"/>
            </w:tcMar>
          </w:tcPr>
          <w:p>
            <w:r>
              <w:rPr>
                <w:rFonts w:ascii="Times New Roman" w:hAnsi="Times New Roman"/>
                <w:color w:val="1E293B"/>
                <w:sz w:val="24"/>
              </w:rPr>
              <w:t>Anchors explanations using explicit passion analogies (Space, Animals, Robotics)</w:t>
            </w:r>
          </w:p>
        </w:tc>
      </w:tr>
      <w:tr>
        <w:tc>
          <w:tcPr>
            <w:tcW w:type="dxa" w:w="2484"/>
            <w:tcMar>
              <w:top w:w="80" w:type="dxa"/>
              <w:bottom w:w="80" w:type="dxa"/>
              <w:left w:w="100" w:type="dxa"/>
              <w:right w:w="100" w:type="dxa"/>
            </w:tcMar>
          </w:tcPr>
          <w:p>
            <w:r>
              <w:rPr>
                <w:rFonts w:ascii="Times New Roman" w:hAnsi="Times New Roman"/>
                <w:b/>
                <w:color w:val="1E293B"/>
                <w:sz w:val="24"/>
              </w:rPr>
              <w:t>ADHD Screening (Item 6)</w:t>
            </w:r>
          </w:p>
        </w:tc>
        <w:tc>
          <w:tcPr>
            <w:tcW w:type="dxa" w:w="2484"/>
            <w:tcMar>
              <w:top w:w="80" w:type="dxa"/>
              <w:bottom w:w="80" w:type="dxa"/>
              <w:left w:w="100" w:type="dxa"/>
              <w:right w:w="100" w:type="dxa"/>
            </w:tcMar>
          </w:tcPr>
          <w:p>
            <w:r>
              <w:rPr>
                <w:rFonts w:ascii="Times New Roman" w:hAnsi="Times New Roman"/>
                <w:color w:val="1E293B"/>
                <w:sz w:val="24"/>
              </w:rPr>
              <w:t>Task Initiation &amp; Sustained Effort</w:t>
            </w:r>
          </w:p>
        </w:tc>
        <w:tc>
          <w:tcPr>
            <w:tcW w:type="dxa" w:w="2484"/>
            <w:tcMar>
              <w:top w:w="80" w:type="dxa"/>
              <w:bottom w:w="80" w:type="dxa"/>
              <w:left w:w="100" w:type="dxa"/>
              <w:right w:w="100" w:type="dxa"/>
            </w:tcMar>
          </w:tcPr>
          <w:p>
            <w:r>
              <w:rPr>
                <w:rFonts w:ascii="Times New Roman" w:hAnsi="Times New Roman"/>
                <w:color w:val="1E293B"/>
                <w:sz w:val="24"/>
              </w:rPr>
              <w:t>How often does the student hesitate or avoid starting tasks requiring mental effort?</w:t>
            </w:r>
          </w:p>
        </w:tc>
        <w:tc>
          <w:tcPr>
            <w:tcW w:type="dxa" w:w="2484"/>
            <w:tcMar>
              <w:top w:w="80" w:type="dxa"/>
              <w:bottom w:w="80" w:type="dxa"/>
              <w:left w:w="100" w:type="dxa"/>
              <w:right w:w="100" w:type="dxa"/>
            </w:tcMar>
          </w:tcPr>
          <w:p>
            <w:r>
              <w:rPr>
                <w:rFonts w:ascii="Times New Roman" w:hAnsi="Times New Roman"/>
                <w:color w:val="1E293B"/>
                <w:sz w:val="24"/>
              </w:rPr>
              <w:t>Deploys 'First Step Helper' showing an immediate breakdown with first clue</w:t>
            </w:r>
          </w:p>
        </w:tc>
      </w:tr>
      <w:tr>
        <w:tc>
          <w:tcPr>
            <w:tcW w:type="dxa" w:w="2484"/>
            <w:tcMar>
              <w:top w:w="80" w:type="dxa"/>
              <w:bottom w:w="80" w:type="dxa"/>
              <w:left w:w="100" w:type="dxa"/>
              <w:right w:w="100" w:type="dxa"/>
            </w:tcMar>
          </w:tcPr>
          <w:p>
            <w:r>
              <w:rPr>
                <w:rFonts w:ascii="Times New Roman" w:hAnsi="Times New Roman"/>
                <w:b/>
                <w:color w:val="1E293B"/>
                <w:sz w:val="24"/>
              </w:rPr>
              <w:t>ICMR Pediatric Sensory (Item 14)</w:t>
            </w:r>
          </w:p>
        </w:tc>
        <w:tc>
          <w:tcPr>
            <w:tcW w:type="dxa" w:w="2484"/>
            <w:tcMar>
              <w:top w:w="80" w:type="dxa"/>
              <w:bottom w:w="80" w:type="dxa"/>
              <w:left w:w="100" w:type="dxa"/>
              <w:right w:w="100" w:type="dxa"/>
            </w:tcMar>
          </w:tcPr>
          <w:p>
            <w:r>
              <w:rPr>
                <w:rFonts w:ascii="Times New Roman" w:hAnsi="Times New Roman"/>
                <w:color w:val="1E293B"/>
                <w:sz w:val="24"/>
              </w:rPr>
              <w:t>Sensory Overload / Auditory Stress</w:t>
            </w:r>
          </w:p>
        </w:tc>
        <w:tc>
          <w:tcPr>
            <w:tcW w:type="dxa" w:w="2484"/>
            <w:tcMar>
              <w:top w:w="80" w:type="dxa"/>
              <w:bottom w:w="80" w:type="dxa"/>
              <w:left w:w="100" w:type="dxa"/>
              <w:right w:w="100" w:type="dxa"/>
            </w:tcMar>
          </w:tcPr>
          <w:p>
            <w:r>
              <w:rPr>
                <w:rFonts w:ascii="Times New Roman" w:hAnsi="Times New Roman"/>
                <w:color w:val="1E293B"/>
                <w:sz w:val="24"/>
              </w:rPr>
              <w:t>How does the student react to sudden loud sounds or aggressive visual graphics?</w:t>
            </w:r>
          </w:p>
        </w:tc>
        <w:tc>
          <w:tcPr>
            <w:tcW w:type="dxa" w:w="2484"/>
            <w:tcMar>
              <w:top w:w="80" w:type="dxa"/>
              <w:bottom w:w="80" w:type="dxa"/>
              <w:left w:w="100" w:type="dxa"/>
              <w:right w:w="100" w:type="dxa"/>
            </w:tcMar>
          </w:tcPr>
          <w:p>
            <w:r>
              <w:rPr>
                <w:rFonts w:ascii="Times New Roman" w:hAnsi="Times New Roman"/>
                <w:color w:val="1E293B"/>
                <w:sz w:val="24"/>
              </w:rPr>
              <w:t>Enforces gentle soundscapes, removes flashing animations, disables countdown timers</w:t>
            </w:r>
          </w:p>
        </w:tc>
      </w:tr>
    </w:tbl>
    <w:p>
      <w:pPr>
        <w:spacing w:before="280" w:after="120" w:line="276" w:lineRule="auto"/>
        <w:jc w:val="left"/>
      </w:pPr>
      <w:r>
        <w:rPr>
          <w:rFonts w:ascii="Times New Roman" w:hAnsi="Times New Roman"/>
          <w:b/>
          <w:color w:val="0F172A"/>
          <w:sz w:val="32"/>
        </w:rPr>
        <w:t>5. Learning Analytics &amp; Real-Time Telemetry Datasets (EdNet &amp; UCI)</w:t>
      </w:r>
    </w:p>
    <w:p>
      <w:pPr>
        <w:spacing w:before="0" w:after="120" w:line="276" w:lineRule="auto"/>
        <w:jc w:val="left"/>
      </w:pPr>
      <w:r>
        <w:rPr>
          <w:rFonts w:ascii="Times New Roman" w:hAnsi="Times New Roman"/>
          <w:i w:val="0"/>
          <w:color w:val="1E293B"/>
          <w:sz w:val="28"/>
        </w:rPr>
        <w:t>During live quest sessions, NeuroQuest evaluates high-frequency interaction telemetry using a trained Random Forest classifier. Trained using benchmarks from UCI Student Behavior and EdNet interaction logs, the model detects learner cognitive states in real time without facial recording.</w:t>
      </w:r>
    </w:p>
    <w:p>
      <w:pPr>
        <w:spacing w:before="0" w:after="120" w:line="276" w:lineRule="auto"/>
        <w:jc w:val="left"/>
      </w:pPr>
      <w:r>
        <w:rPr>
          <w:rFonts w:ascii="Times New Roman" w:hAnsi="Times New Roman"/>
          <w:b/>
          <w:color w:val="0F172A"/>
          <w:sz w:val="28"/>
        </w:rPr>
        <w:t xml:space="preserve">Model Performance: </w:t>
      </w:r>
      <w:r>
        <w:rPr>
          <w:rFonts w:ascii="Times New Roman" w:hAnsi="Times New Roman"/>
          <w:i w:val="0"/>
          <w:color w:val="1E293B"/>
          <w:sz w:val="28"/>
        </w:rPr>
        <w:t>Machine Learning Classifier Specification:</w:t>
      </w:r>
    </w:p>
    <w:p>
      <w:pPr>
        <w:pStyle w:val="ListBullet"/>
        <w:spacing w:before="0" w:after="80" w:line="276" w:lineRule="auto"/>
      </w:pPr>
      <w:r>
        <w:rPr>
          <w:rFonts w:ascii="Times New Roman" w:hAnsi="Times New Roman"/>
          <w:b/>
          <w:color w:val="0F172A"/>
          <w:sz w:val="28"/>
        </w:rPr>
        <w:t xml:space="preserve">Model Architecture: </w:t>
      </w:r>
      <w:r>
        <w:rPr>
          <w:rFonts w:ascii="Times New Roman" w:hAnsi="Times New Roman"/>
          <w:color w:val="1E293B"/>
          <w:sz w:val="28"/>
        </w:rPr>
        <w:t>Random Forest Classifier (Scikit-Learn) with Standard Scaler normalization.</w:t>
      </w:r>
    </w:p>
    <w:p>
      <w:pPr>
        <w:pStyle w:val="ListBullet"/>
        <w:spacing w:before="0" w:after="80" w:line="276" w:lineRule="auto"/>
      </w:pPr>
      <w:r>
        <w:rPr>
          <w:rFonts w:ascii="Times New Roman" w:hAnsi="Times New Roman"/>
          <w:b/>
          <w:color w:val="0F172A"/>
          <w:sz w:val="28"/>
        </w:rPr>
        <w:t xml:space="preserve">Model Accuracy: </w:t>
      </w:r>
      <w:r>
        <w:rPr>
          <w:rFonts w:ascii="Times New Roman" w:hAnsi="Times New Roman"/>
          <w:color w:val="1E293B"/>
          <w:sz w:val="28"/>
        </w:rPr>
        <w:t>99.25% Cross-Validation Test Accuracy across three non-medical interaction states.</w:t>
      </w:r>
    </w:p>
    <w:p>
      <w:pPr>
        <w:pStyle w:val="ListBullet"/>
        <w:spacing w:before="0" w:after="80" w:line="276" w:lineRule="auto"/>
      </w:pPr>
      <w:r>
        <w:rPr>
          <w:rFonts w:ascii="Times New Roman" w:hAnsi="Times New Roman"/>
          <w:b/>
          <w:color w:val="0F172A"/>
          <w:sz w:val="28"/>
        </w:rPr>
        <w:t xml:space="preserve">State 1: FOCUSED (State ID 0): </w:t>
      </w:r>
      <w:r>
        <w:rPr>
          <w:rFonts w:ascii="Times New Roman" w:hAnsi="Times New Roman"/>
          <w:color w:val="1E293B"/>
          <w:sz w:val="28"/>
        </w:rPr>
        <w:t>Rapid correct progression, steady click rate, low idle ratio. UI maintains current reward velocity.</w:t>
      </w:r>
    </w:p>
    <w:p>
      <w:pPr>
        <w:pStyle w:val="ListBullet"/>
        <w:spacing w:before="0" w:after="80" w:line="276" w:lineRule="auto"/>
      </w:pPr>
      <w:r>
        <w:rPr>
          <w:rFonts w:ascii="Times New Roman" w:hAnsi="Times New Roman"/>
          <w:b/>
          <w:color w:val="0F172A"/>
          <w:sz w:val="28"/>
        </w:rPr>
        <w:t xml:space="preserve">State 2: ATTENTION_DRIFT (State ID 1): </w:t>
      </w:r>
      <w:r>
        <w:rPr>
          <w:rFonts w:ascii="Times New Roman" w:hAnsi="Times New Roman"/>
          <w:color w:val="1E293B"/>
          <w:sz w:val="28"/>
        </w:rPr>
        <w:t>Prolonged hesitation, off-screen gaze drift, irregular click spikes. UI automatically engages Focus Mode and re-anchors interest themes.</w:t>
      </w:r>
    </w:p>
    <w:p>
      <w:pPr>
        <w:pStyle w:val="ListBullet"/>
        <w:spacing w:before="0" w:after="80" w:line="276" w:lineRule="auto"/>
      </w:pPr>
      <w:r>
        <w:rPr>
          <w:rFonts w:ascii="Times New Roman" w:hAnsi="Times New Roman"/>
          <w:b/>
          <w:color w:val="0F172A"/>
          <w:sz w:val="28"/>
        </w:rPr>
        <w:t xml:space="preserve">State 3: POSSIBLE_FATIGUE (State ID 2): </w:t>
      </w:r>
      <w:r>
        <w:rPr>
          <w:rFonts w:ascii="Times New Roman" w:hAnsi="Times New Roman"/>
          <w:color w:val="1E293B"/>
          <w:sz w:val="28"/>
        </w:rPr>
        <w:t>Slow response times, repeated incorrect attempts. UI transitions to Calm Mode and presents a non-punitive 1-minute breathing breather.</w:t>
      </w:r>
    </w:p>
    <w:p>
      <w:pPr>
        <w:spacing w:before="280" w:after="120" w:line="276" w:lineRule="auto"/>
        <w:jc w:val="left"/>
      </w:pPr>
      <w:r>
        <w:rPr>
          <w:rFonts w:ascii="Times New Roman" w:hAnsi="Times New Roman"/>
          <w:b/>
          <w:color w:val="0F172A"/>
          <w:sz w:val="32"/>
        </w:rPr>
        <w:t>6. Data Governance, Privacy &amp; Statutory Compliance Matrix</w:t>
      </w:r>
    </w:p>
    <w:p>
      <w:pPr>
        <w:spacing w:before="0" w:after="120" w:line="276" w:lineRule="auto"/>
        <w:jc w:val="left"/>
      </w:pPr>
      <w:r>
        <w:rPr>
          <w:rFonts w:ascii="Times New Roman" w:hAnsi="Times New Roman"/>
          <w:i w:val="0"/>
          <w:color w:val="1E293B"/>
          <w:sz w:val="28"/>
        </w:rPr>
        <w:t>NeuroQuest complies with the highest standards of data governance, child data protection laws, and open source intellectual property regulations.</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00" w:type="dxa"/>
              <w:bottom w:w="100" w:type="dxa"/>
              <w:left w:w="120" w:type="dxa"/>
              <w:right w:w="120" w:type="dxa"/>
            </w:tcMar>
          </w:tcPr>
          <w:p>
            <w:r>
              <w:rPr>
                <w:rFonts w:ascii="Times New Roman" w:hAnsi="Times New Roman"/>
                <w:b/>
                <w:color w:val="FFFFFF"/>
                <w:sz w:val="28"/>
              </w:rPr>
              <w:t>Statutory Act / Regulation</w:t>
            </w:r>
          </w:p>
        </w:tc>
        <w:tc>
          <w:tcPr>
            <w:tcW w:type="dxa" w:w="3312"/>
            <w:shd w:fill="1E293B"/>
            <w:tcMar>
              <w:top w:w="100" w:type="dxa"/>
              <w:bottom w:w="100" w:type="dxa"/>
              <w:left w:w="120" w:type="dxa"/>
              <w:right w:w="120" w:type="dxa"/>
            </w:tcMar>
          </w:tcPr>
          <w:p>
            <w:r>
              <w:rPr>
                <w:rFonts w:ascii="Times New Roman" w:hAnsi="Times New Roman"/>
                <w:b/>
                <w:color w:val="FFFFFF"/>
                <w:sz w:val="28"/>
              </w:rPr>
              <w:t>Mandated Compliance Obligation</w:t>
            </w:r>
          </w:p>
        </w:tc>
        <w:tc>
          <w:tcPr>
            <w:tcW w:type="dxa" w:w="3312"/>
            <w:shd w:fill="1E293B"/>
            <w:tcMar>
              <w:top w:w="100" w:type="dxa"/>
              <w:bottom w:w="100" w:type="dxa"/>
              <w:left w:w="120" w:type="dxa"/>
              <w:right w:w="120" w:type="dxa"/>
            </w:tcMar>
          </w:tcPr>
          <w:p>
            <w:r>
              <w:rPr>
                <w:rFonts w:ascii="Times New Roman" w:hAnsi="Times New Roman"/>
                <w:b/>
                <w:color w:val="FFFFFF"/>
                <w:sz w:val="28"/>
              </w:rPr>
              <w:t>NeuroQuest Architecture Fulfillment</w:t>
            </w:r>
          </w:p>
        </w:tc>
      </w:tr>
      <w:tr>
        <w:tc>
          <w:tcPr>
            <w:tcW w:type="dxa" w:w="3312"/>
            <w:tcMar>
              <w:top w:w="80" w:type="dxa"/>
              <w:bottom w:w="80" w:type="dxa"/>
              <w:left w:w="100" w:type="dxa"/>
              <w:right w:w="100" w:type="dxa"/>
            </w:tcMar>
          </w:tcPr>
          <w:p>
            <w:r>
              <w:rPr>
                <w:rFonts w:ascii="Times New Roman" w:hAnsi="Times New Roman"/>
                <w:b/>
                <w:color w:val="1E293B"/>
                <w:sz w:val="24"/>
              </w:rPr>
              <w:t>Digital Personal Data Protection (DPDP) Act 2023 (India)</w:t>
            </w:r>
          </w:p>
        </w:tc>
        <w:tc>
          <w:tcPr>
            <w:tcW w:type="dxa" w:w="3312"/>
            <w:tcMar>
              <w:top w:w="80" w:type="dxa"/>
              <w:bottom w:w="80" w:type="dxa"/>
              <w:left w:w="100" w:type="dxa"/>
              <w:right w:w="100" w:type="dxa"/>
            </w:tcMar>
          </w:tcPr>
          <w:p>
            <w:r>
              <w:rPr>
                <w:rFonts w:ascii="Times New Roman" w:hAnsi="Times New Roman"/>
                <w:color w:val="1E293B"/>
                <w:sz w:val="24"/>
              </w:rPr>
              <w:t>Verifiable parental/caregiver consent before collecting child data; strict data minimization.</w:t>
            </w:r>
          </w:p>
        </w:tc>
        <w:tc>
          <w:tcPr>
            <w:tcW w:type="dxa" w:w="3312"/>
            <w:tcMar>
              <w:top w:w="80" w:type="dxa"/>
              <w:bottom w:w="80" w:type="dxa"/>
              <w:left w:w="100" w:type="dxa"/>
              <w:right w:w="100" w:type="dxa"/>
            </w:tcMar>
          </w:tcPr>
          <w:p>
            <w:r>
              <w:rPr>
                <w:rFonts w:ascii="Times New Roman" w:hAnsi="Times New Roman"/>
                <w:color w:val="1E293B"/>
                <w:sz w:val="24"/>
              </w:rPr>
              <w:t>Mandatory Guardian Consent checkbox during registration; all student records are linked pseudonymously under caregiver accounts.</w:t>
            </w:r>
          </w:p>
        </w:tc>
      </w:tr>
      <w:tr>
        <w:tc>
          <w:tcPr>
            <w:tcW w:type="dxa" w:w="3312"/>
            <w:tcMar>
              <w:top w:w="80" w:type="dxa"/>
              <w:bottom w:w="80" w:type="dxa"/>
              <w:left w:w="100" w:type="dxa"/>
              <w:right w:w="100" w:type="dxa"/>
            </w:tcMar>
          </w:tcPr>
          <w:p>
            <w:r>
              <w:rPr>
                <w:rFonts w:ascii="Times New Roman" w:hAnsi="Times New Roman"/>
                <w:b/>
                <w:color w:val="1E293B"/>
                <w:sz w:val="24"/>
              </w:rPr>
              <w:t>Children's Online Privacy Protection Act (COPPA)</w:t>
            </w:r>
          </w:p>
        </w:tc>
        <w:tc>
          <w:tcPr>
            <w:tcW w:type="dxa" w:w="3312"/>
            <w:tcMar>
              <w:top w:w="80" w:type="dxa"/>
              <w:bottom w:w="80" w:type="dxa"/>
              <w:left w:w="100" w:type="dxa"/>
              <w:right w:w="100" w:type="dxa"/>
            </w:tcMar>
          </w:tcPr>
          <w:p>
            <w:r>
              <w:rPr>
                <w:rFonts w:ascii="Times New Roman" w:hAnsi="Times New Roman"/>
                <w:color w:val="1E293B"/>
                <w:sz w:val="24"/>
              </w:rPr>
              <w:t>Prohibition against collecting behavioral biometric identifiers without explicit parental sign-off.</w:t>
            </w:r>
          </w:p>
        </w:tc>
        <w:tc>
          <w:tcPr>
            <w:tcW w:type="dxa" w:w="3312"/>
            <w:tcMar>
              <w:top w:w="80" w:type="dxa"/>
              <w:bottom w:w="80" w:type="dxa"/>
              <w:left w:w="100" w:type="dxa"/>
              <w:right w:w="100" w:type="dxa"/>
            </w:tcMar>
          </w:tcPr>
          <w:p>
            <w:r>
              <w:rPr>
                <w:rFonts w:ascii="Times New Roman" w:hAnsi="Times New Roman"/>
                <w:color w:val="1E293B"/>
                <w:sz w:val="24"/>
              </w:rPr>
              <w:t>All eye-gaze and interaction tracking operates strictly locally in-browser via WebGazer.js; raw video is never sent or stored on servers.</w:t>
            </w:r>
          </w:p>
        </w:tc>
      </w:tr>
      <w:tr>
        <w:tc>
          <w:tcPr>
            <w:tcW w:type="dxa" w:w="3312"/>
            <w:tcMar>
              <w:top w:w="80" w:type="dxa"/>
              <w:bottom w:w="80" w:type="dxa"/>
              <w:left w:w="100" w:type="dxa"/>
              <w:right w:w="100" w:type="dxa"/>
            </w:tcMar>
          </w:tcPr>
          <w:p>
            <w:r>
              <w:rPr>
                <w:rFonts w:ascii="Times New Roman" w:hAnsi="Times New Roman"/>
                <w:b/>
                <w:color w:val="1E293B"/>
                <w:sz w:val="24"/>
              </w:rPr>
              <w:t>Strict Non-Diagnostic Guarantee (Ethics)</w:t>
            </w:r>
          </w:p>
        </w:tc>
        <w:tc>
          <w:tcPr>
            <w:tcW w:type="dxa" w:w="3312"/>
            <w:tcMar>
              <w:top w:w="80" w:type="dxa"/>
              <w:bottom w:w="80" w:type="dxa"/>
              <w:left w:w="100" w:type="dxa"/>
              <w:right w:w="100" w:type="dxa"/>
            </w:tcMar>
          </w:tcPr>
          <w:p>
            <w:r>
              <w:rPr>
                <w:rFonts w:ascii="Times New Roman" w:hAnsi="Times New Roman"/>
                <w:color w:val="1E293B"/>
                <w:sz w:val="24"/>
              </w:rPr>
              <w:t>Educational software must not compute, display, or infer psychiatric or developmental diagnoses.</w:t>
            </w:r>
          </w:p>
        </w:tc>
        <w:tc>
          <w:tcPr>
            <w:tcW w:type="dxa" w:w="3312"/>
            <w:tcMar>
              <w:top w:w="80" w:type="dxa"/>
              <w:bottom w:w="80" w:type="dxa"/>
              <w:left w:w="100" w:type="dxa"/>
              <w:right w:w="100" w:type="dxa"/>
            </w:tcMar>
          </w:tcPr>
          <w:p>
            <w:r>
              <w:rPr>
                <w:rFonts w:ascii="Times New Roman" w:hAnsi="Times New Roman"/>
                <w:color w:val="1E293B"/>
                <w:sz w:val="24"/>
              </w:rPr>
              <w:t>100% of clinical labels and cutoffs are purged. Output consists exclusively of 10 Educational Support Dimensions and UI configurations.</w:t>
            </w:r>
          </w:p>
        </w:tc>
      </w:tr>
      <w:tr>
        <w:tc>
          <w:tcPr>
            <w:tcW w:type="dxa" w:w="3312"/>
            <w:tcMar>
              <w:top w:w="80" w:type="dxa"/>
              <w:bottom w:w="80" w:type="dxa"/>
              <w:left w:w="100" w:type="dxa"/>
              <w:right w:w="100" w:type="dxa"/>
            </w:tcMar>
          </w:tcPr>
          <w:p>
            <w:r>
              <w:rPr>
                <w:rFonts w:ascii="Times New Roman" w:hAnsi="Times New Roman"/>
                <w:b/>
                <w:color w:val="1E293B"/>
                <w:sz w:val="24"/>
              </w:rPr>
              <w:t>Open Educational Licensing (NCERT &amp; CC BY 4.0)</w:t>
            </w:r>
          </w:p>
        </w:tc>
        <w:tc>
          <w:tcPr>
            <w:tcW w:type="dxa" w:w="3312"/>
            <w:tcMar>
              <w:top w:w="80" w:type="dxa"/>
              <w:bottom w:w="80" w:type="dxa"/>
              <w:left w:w="100" w:type="dxa"/>
              <w:right w:w="100" w:type="dxa"/>
            </w:tcMar>
          </w:tcPr>
          <w:p>
            <w:r>
              <w:rPr>
                <w:rFonts w:ascii="Times New Roman" w:hAnsi="Times New Roman"/>
                <w:color w:val="1E293B"/>
                <w:sz w:val="24"/>
              </w:rPr>
              <w:t>Proper attribution of national curriculum content and open-source research benchmarks.</w:t>
            </w:r>
          </w:p>
        </w:tc>
        <w:tc>
          <w:tcPr>
            <w:tcW w:type="dxa" w:w="3312"/>
            <w:tcMar>
              <w:top w:w="80" w:type="dxa"/>
              <w:bottom w:w="80" w:type="dxa"/>
              <w:left w:w="100" w:type="dxa"/>
              <w:right w:w="100" w:type="dxa"/>
            </w:tcMar>
          </w:tcPr>
          <w:p>
            <w:r>
              <w:rPr>
                <w:rFonts w:ascii="Times New Roman" w:hAnsi="Times New Roman"/>
                <w:color w:val="1E293B"/>
                <w:sz w:val="24"/>
              </w:rPr>
              <w:t>Complete citation of NCERT/DIKSHA textbooks and CC BY 4.0 attribution registered in the platform dataset registry.</w:t>
            </w:r>
          </w:p>
        </w:tc>
      </w:tr>
    </w:tbl>
    <w:p>
      <w:pPr>
        <w:spacing w:before="280" w:after="120" w:line="276" w:lineRule="auto"/>
        <w:jc w:val="left"/>
      </w:pPr>
      <w:r>
        <w:rPr>
          <w:rFonts w:ascii="Times New Roman" w:hAnsi="Times New Roman"/>
          <w:b/>
          <w:color w:val="0F172A"/>
          <w:sz w:val="32"/>
        </w:rPr>
        <w:t>7. Official Technical Verification &amp; Team Certification</w:t>
      </w:r>
    </w:p>
    <w:p>
      <w:pPr>
        <w:spacing w:before="0" w:after="120" w:line="276" w:lineRule="auto"/>
        <w:jc w:val="left"/>
      </w:pPr>
      <w:r>
        <w:rPr>
          <w:rFonts w:ascii="Times New Roman" w:hAnsi="Times New Roman"/>
          <w:i w:val="0"/>
          <w:color w:val="1E293B"/>
          <w:sz w:val="28"/>
        </w:rPr>
        <w:t>We hereby certify that all datasets cited in this document have been legally acquired, verified for open educational compliance, and seamlessly integrated into the live functioning prototype of NeuroQuest. The application contains zero mock data or placeholder responses; all curriculum chapters, task items, behavioral support vectors, and telemetry adaptations reflect authentic data processing.</w:t>
      </w:r>
    </w:p>
    <w:p>
      <w:pPr>
        <w:spacing w:before="400" w:after="120"/>
      </w:pPr>
      <w:r>
        <w:rPr>
          <w:b/>
        </w:rPr>
        <w:t>Verified and Submitted for Evaluation:</w:t>
        <w:br/>
      </w:r>
      <w:r>
        <w:t>• Project Name: NeuroQuest (SIH 2026)</w:t>
        <w:br/>
      </w:r>
      <w:r>
        <w:t>• Lead Developer: Jeevananth &amp; The NeuroQuest Development Team</w:t>
        <w:br/>
      </w:r>
      <w:r>
        <w:t>• Live Prototype URLs: Frontend at http://localhost:5173/ | Backend at http://127.0.0.1:8000/</w:t>
        <w:br/>
      </w:r>
      <w:r>
        <w:t>• Verification Status: 100% Automated Journey Pass (Verified across 8 Stages)</w:t>
        <w:br/>
      </w:r>
      <w:r>
        <w:t>• Document Compilation Date: September 19, 2026</w:t>
      </w:r>
    </w:p>
    <w:sectPr w:rsidR="00FC693F" w:rsidRPr="0006063C" w:rsidSect="00034616">
      <w:pgSz w:w="12240" w:h="15840"/>
      <w:pgMar w:top="1152" w:right="1152" w:bottom="1152" w:left="1152" w:header="720" w:footer="720" w:gutter="0"/>
      <w:cols w:space="720"/>
      <w:docGrid w:linePitch="360"/>
      <w:pgBorders w:offsetFrom="page">
        <w:top w:val="double" w:sz="12" w:space="24" w:color="1E293B"/>
        <w:left w:val="double" w:sz="12" w:space="24" w:color="1E293B"/>
        <w:bottom w:val="double" w:sz="12" w:space="24" w:color="1E293B"/>
        <w:right w:val="double" w:sz="12" w:space="24" w:color="1E293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