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00000"/>
          <w:sz w:val="30"/>
        </w:rPr>
        <w:t>JEEVAKUMAR JAYACHANDRAN</w:t>
      </w:r>
    </w:p>
    <w:p>
      <w:pPr>
        <w:spacing w:before="0" w:after="80" w:line="240" w:lineRule="exact"/>
        <w:jc w:val="center"/>
      </w:pPr>
      <w:r>
        <w:rPr>
          <w:rFonts w:ascii="Calibri" w:hAnsi="Calibri"/>
          <w:b w:val="0"/>
          <w:color w:val="000000"/>
          <w:sz w:val="20"/>
        </w:rPr>
        <w:t>Lancaster, UK   |   jeevajk2112@gmail.com   |   +44 7466 480480   |   linkedin.com/in/jeevakumar-j</w:t>
      </w:r>
    </w:p>
    <w:p>
      <w:pPr>
        <w:spacing w:before="140" w:after="60" w:line="240" w:lineRule="exact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EDUCATION</w:t>
      </w:r>
    </w:p>
    <w:p>
      <w:pPr>
        <w:spacing w:before="0" w:after="20" w:line="230" w:lineRule="exact"/>
        <w:tabs>
          <w:tab w:val="right" w:pos="9691"/>
        </w:tabs>
      </w:pPr>
      <w:r>
        <w:rPr>
          <w:rFonts w:ascii="Calibri" w:hAnsi="Calibri"/>
          <w:b/>
          <w:color w:val="000000"/>
          <w:sz w:val="20"/>
        </w:rPr>
        <w:t>MSc Finance</w:t>
      </w:r>
      <w:r>
        <w:rPr>
          <w:rFonts w:ascii="Calibri" w:hAnsi="Calibri"/>
          <w:b w:val="0"/>
          <w:color w:val="000000"/>
          <w:sz w:val="20"/>
        </w:rPr>
        <w:tab/>
        <w:t>Oct 2025 – Aug 2026</w:t>
      </w:r>
    </w:p>
    <w:p>
      <w:pPr>
        <w:spacing w:before="0" w:after="20" w:line="230" w:lineRule="exact"/>
      </w:pPr>
      <w:r>
        <w:rPr>
          <w:rFonts w:ascii="Calibri" w:hAnsi="Calibri"/>
          <w:b w:val="0"/>
          <w:color w:val="000000"/>
          <w:sz w:val="20"/>
        </w:rPr>
        <w:t>Lancaster University Management School, Lancaster, UK</w:t>
      </w:r>
    </w:p>
    <w:p>
      <w:pPr>
        <w:spacing w:before="0" w:after="60" w:line="230" w:lineRule="exact"/>
      </w:pPr>
      <w:r>
        <w:rPr>
          <w:rFonts w:ascii="Calibri" w:hAnsi="Calibri"/>
          <w:b w:val="0"/>
          <w:color w:val="000000"/>
          <w:sz w:val="20"/>
        </w:rPr>
        <w:t>First Class expected. Modules: Advanced Investment Management, Financial Modelling &amp; Valuation, Python for Data Analysis, Financial Databases (Bloomberg Terminal). Dissertation: The ESG Debt Premium in the Syndicated Loan Market — panel regression on 135,000+ loan tranches (DealScan, Compustat, RepRisk) in R.</w:t>
      </w:r>
    </w:p>
    <w:p>
      <w:pPr>
        <w:spacing w:before="0" w:after="20" w:line="230" w:lineRule="exact"/>
        <w:tabs>
          <w:tab w:val="right" w:pos="9691"/>
        </w:tabs>
      </w:pPr>
      <w:r>
        <w:rPr>
          <w:rFonts w:ascii="Calibri" w:hAnsi="Calibri"/>
          <w:b/>
          <w:color w:val="000000"/>
          <w:sz w:val="20"/>
        </w:rPr>
        <w:t>CIMA – Management Level</w:t>
      </w:r>
      <w:r>
        <w:rPr>
          <w:rFonts w:ascii="Calibri" w:hAnsi="Calibri"/>
          <w:b w:val="0"/>
          <w:color w:val="000000"/>
          <w:sz w:val="20"/>
        </w:rPr>
        <w:tab/>
        <w:t>2025 – Present</w:t>
      </w:r>
    </w:p>
    <w:p>
      <w:pPr>
        <w:spacing w:before="0" w:after="20" w:line="230" w:lineRule="exact"/>
      </w:pPr>
      <w:r>
        <w:rPr>
          <w:rFonts w:ascii="Calibri" w:hAnsi="Calibri"/>
          <w:b w:val="0"/>
          <w:color w:val="000000"/>
          <w:sz w:val="20"/>
        </w:rPr>
        <w:t>Chartered Institute of Management Accountants</w:t>
      </w:r>
    </w:p>
    <w:p>
      <w:pPr>
        <w:spacing w:before="0" w:after="60" w:line="230" w:lineRule="exact"/>
      </w:pPr>
      <w:r>
        <w:rPr>
          <w:rFonts w:ascii="Calibri" w:hAnsi="Calibri"/>
          <w:b w:val="0"/>
          <w:color w:val="000000"/>
          <w:sz w:val="20"/>
        </w:rPr>
        <w:t>Currently progressing through Management Case Study level. Modules passed include Management Accounting, Financial Reporting, and Business Strategy.</w:t>
      </w:r>
    </w:p>
    <w:p>
      <w:pPr>
        <w:spacing w:before="0" w:after="20" w:line="230" w:lineRule="exact"/>
        <w:tabs>
          <w:tab w:val="right" w:pos="9691"/>
        </w:tabs>
      </w:pPr>
      <w:r>
        <w:rPr>
          <w:rFonts w:ascii="Calibri" w:hAnsi="Calibri"/>
          <w:b/>
          <w:color w:val="000000"/>
          <w:sz w:val="20"/>
        </w:rPr>
        <w:t>Master of Commerce (M.Com), 82%</w:t>
      </w:r>
      <w:r>
        <w:rPr>
          <w:rFonts w:ascii="Calibri" w:hAnsi="Calibri"/>
          <w:b w:val="0"/>
          <w:color w:val="000000"/>
          <w:sz w:val="20"/>
        </w:rPr>
        <w:tab/>
        <w:t>Jun 2019 – Apr 2021</w:t>
      </w:r>
    </w:p>
    <w:p>
      <w:pPr>
        <w:spacing w:before="0" w:after="20" w:line="230" w:lineRule="exact"/>
      </w:pPr>
      <w:r>
        <w:rPr>
          <w:rFonts w:ascii="Calibri" w:hAnsi="Calibri"/>
          <w:b w:val="0"/>
          <w:color w:val="000000"/>
          <w:sz w:val="20"/>
        </w:rPr>
        <w:t>KCS College of Arts and Science, Chennai, India</w:t>
      </w:r>
    </w:p>
    <w:p>
      <w:pPr>
        <w:spacing w:before="0" w:after="20" w:line="230" w:lineRule="exact"/>
        <w:tabs>
          <w:tab w:val="right" w:pos="9691"/>
        </w:tabs>
      </w:pPr>
      <w:r>
        <w:rPr>
          <w:rFonts w:ascii="Calibri" w:hAnsi="Calibri"/>
          <w:b/>
          <w:color w:val="000000"/>
          <w:sz w:val="20"/>
        </w:rPr>
        <w:t>Bachelor of Commerce (B.Com), 72%</w:t>
      </w:r>
      <w:r>
        <w:rPr>
          <w:rFonts w:ascii="Calibri" w:hAnsi="Calibri"/>
          <w:b w:val="0"/>
          <w:color w:val="000000"/>
          <w:sz w:val="20"/>
        </w:rPr>
        <w:tab/>
        <w:t>Jun 2016 – Apr 2019</w:t>
      </w:r>
    </w:p>
    <w:p>
      <w:pPr>
        <w:spacing w:before="0" w:after="20" w:line="230" w:lineRule="exact"/>
      </w:pPr>
      <w:r>
        <w:rPr>
          <w:rFonts w:ascii="Calibri" w:hAnsi="Calibri"/>
          <w:b w:val="0"/>
          <w:color w:val="000000"/>
          <w:sz w:val="20"/>
        </w:rPr>
        <w:t>KCS College of Arts and Science, Chennai, India</w:t>
      </w:r>
    </w:p>
    <w:p>
      <w:pPr>
        <w:spacing w:before="140" w:after="60" w:line="240" w:lineRule="exact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PROFESSIONAL EXPERIENCE</w:t>
      </w:r>
    </w:p>
    <w:p>
      <w:pPr>
        <w:spacing w:before="0" w:after="20" w:line="230" w:lineRule="exact"/>
        <w:tabs>
          <w:tab w:val="right" w:pos="9691"/>
        </w:tabs>
      </w:pPr>
      <w:r>
        <w:rPr>
          <w:rFonts w:ascii="Calibri" w:hAnsi="Calibri"/>
          <w:b/>
          <w:color w:val="000000"/>
          <w:sz w:val="20"/>
        </w:rPr>
        <w:t>Pricing Associate (Financial Analyst) | Accenture, Bengaluru, India</w:t>
      </w:r>
      <w:r>
        <w:rPr>
          <w:rFonts w:ascii="Calibri" w:hAnsi="Calibri"/>
          <w:b w:val="0"/>
          <w:color w:val="000000"/>
          <w:sz w:val="20"/>
        </w:rPr>
        <w:tab/>
        <w:t>Jun 2023 – Sep 2025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Engineered and maintained 600+ pricing and profitability models for multimillion-dollar outsourcing contracts, producing revenue and cost forecasts that underpinned executive deal-approval decisions.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Delivered detailed variance analysis with clear commentary on financial performance, translating complex datasets into actionable insights for non-financial senior stakeholders.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Reduced manual reporting time by 30% by designing automated performance dashboards in Advanced Excel (VBA/Power Query), accelerating decision-making cycles across the finance team.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Quantified margin impacts across multiple deal scenarios through multi-variable sensitivity analysis, isolating key cost drivers and downside risks that shaped final bid strategy.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Partnered with cross-functional sales and finance teams to evaluate deal economics, demonstrating strong collaboration in a fast-paced commercial environment.</w:t>
      </w:r>
    </w:p>
    <w:p>
      <w:pPr>
        <w:spacing w:after="40"/>
      </w:pPr>
    </w:p>
    <w:p>
      <w:pPr>
        <w:spacing w:before="0" w:after="20" w:line="230" w:lineRule="exact"/>
        <w:tabs>
          <w:tab w:val="right" w:pos="9691"/>
        </w:tabs>
      </w:pPr>
      <w:r>
        <w:rPr>
          <w:rFonts w:ascii="Calibri" w:hAnsi="Calibri"/>
          <w:b/>
          <w:color w:val="000000"/>
          <w:sz w:val="20"/>
        </w:rPr>
        <w:t>Finance Assistant | SMS LLP (Mtandt Group), Chennai, India</w:t>
      </w:r>
      <w:r>
        <w:rPr>
          <w:rFonts w:ascii="Calibri" w:hAnsi="Calibri"/>
          <w:b w:val="0"/>
          <w:color w:val="000000"/>
          <w:sz w:val="20"/>
        </w:rPr>
        <w:tab/>
        <w:t>Feb 2022 – May 2023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Prepared accurate monthly management accounts and forecasts, supporting executive decision-making through concise financial reporting and clear variance commentary.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Processed month-end journals, accruals, and prepayments, ensuring timely and accurate close in line with accounting standards and internal control policies.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Performed balance sheet reconciliations, investigating and resolving reconciling items to maintain ledger integrity.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Reduced potential financial losses by 12% through inventory and asset-performance analysis, with targeted provision recommendations presented to management.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Supported the annual budgeting cycle and delivered monthly variance analysis tracking financial performance against targets.</w:t>
      </w:r>
    </w:p>
    <w:p>
      <w:pPr>
        <w:spacing w:after="40"/>
      </w:pPr>
    </w:p>
    <w:p>
      <w:pPr>
        <w:spacing w:before="140" w:after="60" w:line="240" w:lineRule="exact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INVESTMENT &amp; FINANCIAL ANALYSIS PROJECTS</w:t>
      </w:r>
    </w:p>
    <w:p>
      <w:pPr>
        <w:spacing w:before="40" w:after="20"/>
      </w:pPr>
      <w:r>
        <w:rPr>
          <w:rFonts w:ascii="Calibri" w:hAnsi="Calibri"/>
          <w:b/>
          <w:color w:val="000000"/>
          <w:sz w:val="20"/>
        </w:rPr>
        <w:t>Unilever PLC: Intrinsic Valuation via FCFF DCF Model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Built a full FCFF discounted cash flow model, stress-testing outputs through scenario and sensitivity analysis across WACC, terminal growth, and operating-margin assumptions.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Framed an equity-research-style recommendation identifying Unilever as a defensive, cash-generative business with limited near-term upside.</w:t>
      </w:r>
    </w:p>
    <w:p>
      <w:pPr>
        <w:spacing w:after="20"/>
      </w:pPr>
    </w:p>
    <w:p>
      <w:pPr>
        <w:spacing w:before="40" w:after="20"/>
      </w:pPr>
      <w:r>
        <w:rPr>
          <w:rFonts w:ascii="Calibri" w:hAnsi="Calibri"/>
          <w:b/>
          <w:color w:val="000000"/>
          <w:sz w:val="20"/>
        </w:rPr>
        <w:t>FTSE 350 Portfolio: Equity Valuation &amp; Risk Analysis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Calculated beta and risk-adjusted expected returns for 10 FTSE 350 companies applying CAPM, flagging HSBC and Barclays as undervalued (Buy/Hold).</w:t>
      </w:r>
    </w:p>
    <w:p>
      <w:pPr>
        <w:pStyle w:val="ListBullet"/>
        <w:spacing w:before="0" w:after="40" w:line="230" w:lineRule="exact"/>
      </w:pPr>
      <w:r>
        <w:rPr>
          <w:rFonts w:ascii="Calibri" w:hAnsi="Calibri"/>
          <w:b w:val="0"/>
          <w:color w:val="000000"/>
          <w:sz w:val="20"/>
        </w:rPr>
        <w:t>Formulated a buy/sell investment rationale grounded in systematic-risk and return-risk trade-off frameworks.</w:t>
      </w:r>
    </w:p>
    <w:p>
      <w:pPr>
        <w:spacing w:after="20"/>
      </w:pPr>
    </w:p>
    <w:p>
      <w:pPr>
        <w:spacing w:before="140" w:after="60" w:line="240" w:lineRule="exact"/>
        <w:pBdr>
          <w:bottom w:val="single" w:sz="6" w:space="1" w:color="000000"/>
        </w:pBdr>
      </w:pPr>
      <w:r>
        <w:rPr>
          <w:rFonts w:ascii="Calibri" w:hAnsi="Calibri"/>
          <w:b/>
          <w:color w:val="000000"/>
          <w:sz w:val="22"/>
        </w:rPr>
        <w:t>SKILLS &amp; INTERESTS</w:t>
      </w:r>
    </w:p>
    <w:p>
      <w:pPr>
        <w:spacing w:before="20" w:after="40" w:line="230" w:lineRule="exact"/>
      </w:pPr>
      <w:r>
        <w:rPr>
          <w:rFonts w:ascii="Calibri" w:hAnsi="Calibri"/>
          <w:b/>
          <w:color w:val="000000"/>
          <w:sz w:val="20"/>
        </w:rPr>
        <w:t xml:space="preserve">Technical Tools: </w:t>
      </w:r>
      <w:r>
        <w:rPr>
          <w:rFonts w:ascii="Calibri" w:hAnsi="Calibri"/>
          <w:b w:val="0"/>
          <w:color w:val="000000"/>
          <w:sz w:val="20"/>
        </w:rPr>
        <w:t>Advanced Excel (VBA, Power Query, pivot tables, lookups), Bloomberg Terminal, Python (pandas), R (panel regression), SQL, PowerPoint, ERP systems (exposure to SAP/Oracle environments)</w:t>
      </w:r>
    </w:p>
    <w:p>
      <w:pPr>
        <w:spacing w:before="20" w:after="40" w:line="230" w:lineRule="exact"/>
      </w:pPr>
      <w:r>
        <w:rPr>
          <w:rFonts w:ascii="Calibri" w:hAnsi="Calibri"/>
          <w:b/>
          <w:color w:val="000000"/>
          <w:sz w:val="20"/>
        </w:rPr>
        <w:t xml:space="preserve">Financial Competencies: </w:t>
      </w:r>
      <w:r>
        <w:rPr>
          <w:rFonts w:ascii="Calibri" w:hAnsi="Calibri"/>
          <w:b w:val="0"/>
          <w:color w:val="000000"/>
          <w:sz w:val="20"/>
        </w:rPr>
        <w:t>Monthly Management Accounts, Variance Analysis &amp; Commentary, Balance Sheet Reconciliations, Journal Postings &amp; Accruals, Budgeting &amp; Forecasting, Financial Reporting, Internal Controls, VAT Returns, Pricing &amp; Profitability Modelling</w:t>
      </w:r>
    </w:p>
    <w:p>
      <w:pPr>
        <w:spacing w:before="20" w:after="40" w:line="230" w:lineRule="exact"/>
      </w:pPr>
      <w:r>
        <w:rPr>
          <w:rFonts w:ascii="Calibri" w:hAnsi="Calibri"/>
          <w:b/>
          <w:color w:val="000000"/>
          <w:sz w:val="20"/>
        </w:rPr>
        <w:t xml:space="preserve">Qualifications &amp; Certifications: </w:t>
      </w:r>
      <w:r>
        <w:rPr>
          <w:rFonts w:ascii="Calibri" w:hAnsi="Calibri"/>
          <w:b w:val="0"/>
          <w:color w:val="000000"/>
          <w:sz w:val="20"/>
        </w:rPr>
        <w:t>CIMA – Management Case Study Level (in progress) | CMA Intermediate, ICAI</w:t>
      </w:r>
    </w:p>
    <w:p>
      <w:pPr>
        <w:spacing w:before="20" w:after="40" w:line="230" w:lineRule="exact"/>
      </w:pPr>
      <w:r>
        <w:rPr>
          <w:rFonts w:ascii="Calibri" w:hAnsi="Calibri"/>
          <w:b/>
          <w:color w:val="000000"/>
          <w:sz w:val="20"/>
        </w:rPr>
        <w:t xml:space="preserve">Interests: </w:t>
      </w:r>
      <w:r>
        <w:rPr>
          <w:rFonts w:ascii="Calibri" w:hAnsi="Calibri"/>
          <w:b w:val="0"/>
          <w:color w:val="000000"/>
          <w:sz w:val="20"/>
        </w:rPr>
        <w:t>Chess, Painting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