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6048"/>
        <w:gridCol w:w="3312"/>
      </w:tblGrid>
      <w:tr>
        <w:tc>
          <w:tcPr>
            <w:tcW w:type="dxa" w:w="4986"/>
            <w:shd w:val="clear" w:color="auto" w:fill="1B3A6B"/>
          </w:tcPr>
          <w:p>
            <w:pPr>
              <w:spacing w:before="200" w:after="40"/>
              <w:jc w:val="left"/>
            </w:pPr>
            <w:r>
              <w:rPr>
                <w:rFonts w:ascii="Calibri" w:hAnsi="Calibri"/>
                <w:b/>
                <w:i w:val="0"/>
                <w:color w:val="FFFFFF"/>
                <w:sz w:val="34"/>
              </w:rPr>
              <w:t>JEEVAKUMAR JAYACHANDRAN</w:t>
            </w:r>
          </w:p>
          <w:p>
            <w:pPr>
              <w:spacing w:before="0" w:after="200"/>
              <w:jc w:val="left"/>
            </w:pPr>
            <w:r>
              <w:rPr>
                <w:rFonts w:ascii="Calibri" w:hAnsi="Calibri"/>
                <w:b w:val="0"/>
                <w:i w:val="0"/>
                <w:color w:val="FFFFFF"/>
                <w:sz w:val="17"/>
              </w:rPr>
              <w:t>Lancaster, UK   ·   jeevajk2112@gmail.com   ·   +44 7466 480480   ·   linkedin.com/in/jeevakumar-j</w:t>
            </w:r>
          </w:p>
        </w:tc>
        <w:tc>
          <w:tcPr>
            <w:tcW w:type="dxa" w:w="4986"/>
            <w:shd w:val="clear" w:color="auto" w:fill="2E6DA4"/>
          </w:tcPr>
          <w:p>
            <w:pPr>
              <w:spacing w:before="160" w:after="40"/>
              <w:jc w:val="center"/>
            </w:pPr>
            <w:r>
              <w:rPr>
                <w:rFonts w:ascii="Calibri" w:hAnsi="Calibri"/>
                <w:b/>
                <w:i w:val="0"/>
                <w:color w:val="FFFFFF"/>
                <w:sz w:val="20"/>
              </w:rPr>
              <w:t>Revenue Enablement</w:t>
            </w:r>
          </w:p>
          <w:p>
            <w:pPr>
              <w:spacing w:before="0" w:after="160"/>
              <w:jc w:val="center"/>
            </w:pPr>
            <w:r>
              <w:rPr>
                <w:rFonts w:ascii="Calibri" w:hAnsi="Calibri"/>
                <w:b w:val="0"/>
                <w:i/>
                <w:color w:val="FFFFFF"/>
                <w:sz w:val="18"/>
              </w:rPr>
              <w:t>Specialist · UPS Benelux</w:t>
            </w:r>
          </w:p>
        </w:tc>
      </w:tr>
    </w:tbl>
    <w:p/>
    <w:p>
      <w:pPr>
        <w:spacing w:before="200" w:after="40"/>
        <w:pBdr>
          <w:bottom w:val="single" w:sz="8" w:space="1" w:color="1B3A6B"/>
        </w:pBdr>
      </w:pPr>
      <w:r>
        <w:rPr>
          <w:rFonts w:ascii="Calibri" w:hAnsi="Calibri"/>
          <w:b/>
          <w:i w:val="0"/>
          <w:color w:val="1B3A6B"/>
          <w:sz w:val="20"/>
        </w:rPr>
        <w:t>PROFIEL  /  PROFILE</w:t>
      </w:r>
    </w:p>
    <w:p>
      <w:pPr>
        <w:spacing w:before="60" w:after="40" w:line="280" w:lineRule="exact"/>
      </w:pPr>
      <w:r>
        <w:rPr>
          <w:rFonts w:ascii="Calibri" w:hAnsi="Calibri"/>
          <w:b w:val="0"/>
          <w:i w:val="0"/>
          <w:color w:val="1A1A1A"/>
          <w:sz w:val="20"/>
        </w:rPr>
        <w:t>Analytisch ingestelde Finance professional met een MSc Finance (Lancaster University) en ruim twee jaar ervaring in prijsstrategie, winstgevendheidsmodellering en commerciële rapportage bij Accenture. Bewezen vermogen om pricing strategies te monitoren en te verbeteren, klantrentabiliteit te evalueren en datagedreven inzichten te presenteren aan senior stakeholders. Vertrouwd met Excel, Python en financiële dashboards. Sterke communicatieve vaardigheden in een internationale omgeving en bereid tot relocatie naar Nederland.</w:t>
      </w:r>
    </w:p>
    <w:p>
      <w:pPr>
        <w:spacing w:before="20" w:after="40" w:line="280" w:lineRule="exact"/>
      </w:pPr>
      <w:r>
        <w:rPr>
          <w:rFonts w:ascii="Calibri" w:hAnsi="Calibri"/>
          <w:b w:val="0"/>
          <w:i/>
          <w:color w:val="555555"/>
          <w:sz w:val="19"/>
        </w:rPr>
        <w:t>(Analytical Finance professional with an MSc Finance from Lancaster University and over two years of experience in pricing strategy, profitability modelling, and commercial reporting at Accenture. Proven ability to monitor and improve pricing strategies, evaluate customer profitability, and present data-driven insights to senior stakeholders. Proficient in Excel, Python, and financial dashboards. Strong communication skills in an international environment; willing to relocate to the Netherlands.)</w:t>
      </w:r>
    </w:p>
    <w:p>
      <w:pPr>
        <w:spacing w:before="200" w:after="40"/>
        <w:pBdr>
          <w:bottom w:val="single" w:sz="8" w:space="1" w:color="1B3A6B"/>
        </w:pBdr>
      </w:pPr>
      <w:r>
        <w:rPr>
          <w:rFonts w:ascii="Calibri" w:hAnsi="Calibri"/>
          <w:b/>
          <w:i w:val="0"/>
          <w:color w:val="1B3A6B"/>
          <w:sz w:val="20"/>
        </w:rPr>
        <w:t>WERKERVARING  /  WORK EXPERIENCE</w:t>
      </w:r>
    </w:p>
    <w:p>
      <w:pPr>
        <w:spacing w:before="120" w:after="20"/>
      </w:pPr>
      <w:r>
        <w:rPr>
          <w:rFonts w:ascii="Calibri" w:hAnsi="Calibri"/>
          <w:b/>
          <w:i w:val="0"/>
          <w:color w:val="1B3A6B"/>
          <w:sz w:val="21"/>
        </w:rPr>
        <w:t>Pricing Associate (Financial Analyst)</w:t>
      </w:r>
      <w:r>
        <w:rPr>
          <w:rFonts w:ascii="Calibri" w:hAnsi="Calibri"/>
          <w:b w:val="0"/>
          <w:i w:val="0"/>
          <w:color w:val="1A1A1A"/>
          <w:sz w:val="20"/>
        </w:rPr>
        <w:t xml:space="preserve">  |  Accenture  |  Bengaluru, India  |  </w:t>
      </w:r>
      <w:r>
        <w:rPr>
          <w:rFonts w:ascii="Calibri" w:hAnsi="Calibri"/>
          <w:b w:val="0"/>
          <w:i/>
          <w:color w:val="2E6DA4"/>
          <w:sz w:val="20"/>
        </w:rPr>
        <w:t>Jun 2023 – Sep 2025</w:t>
      </w:r>
    </w:p>
    <w:p>
      <w:pPr>
        <w:pStyle w:val="ListBullet"/>
        <w:spacing w:before="20" w:after="20" w:line="260" w:lineRule="exact"/>
        <w:ind w:left="283"/>
      </w:pPr>
      <w:r>
        <w:rPr>
          <w:rFonts w:ascii="Calibri" w:hAnsi="Calibri"/>
          <w:b w:val="0"/>
          <w:i w:val="0"/>
          <w:color w:val="1A1A1A"/>
          <w:sz w:val="20"/>
        </w:rPr>
        <w:t>Engineered and maintained 600+ pricing and profitability models for multimillion-dollar outsourcing contracts, producing revenue forecasts that underpinned executive deal-approval decisions.</w:t>
      </w:r>
    </w:p>
    <w:p>
      <w:pPr>
        <w:pStyle w:val="ListBullet"/>
        <w:spacing w:before="20" w:after="20" w:line="260" w:lineRule="exact"/>
        <w:ind w:left="283"/>
      </w:pPr>
      <w:r>
        <w:rPr>
          <w:rFonts w:ascii="Calibri" w:hAnsi="Calibri"/>
          <w:b w:val="0"/>
          <w:i w:val="0"/>
          <w:color w:val="1A1A1A"/>
          <w:sz w:val="20"/>
        </w:rPr>
        <w:t>Monitored and improved pricing strategies by evaluating deal economics and commercial terms in partnership with senior Sales and Finance stakeholders, ensuring acceptable margins across the customer base.</w:t>
      </w:r>
    </w:p>
    <w:p>
      <w:pPr>
        <w:pStyle w:val="ListBullet"/>
        <w:spacing w:before="20" w:after="20" w:line="260" w:lineRule="exact"/>
        <w:ind w:left="283"/>
      </w:pPr>
      <w:r>
        <w:rPr>
          <w:rFonts w:ascii="Calibri" w:hAnsi="Calibri"/>
          <w:b w:val="0"/>
          <w:i w:val="0"/>
          <w:color w:val="1A1A1A"/>
          <w:sz w:val="20"/>
        </w:rPr>
        <w:t>Managed commercial deal-approval processes end-to-end: coordinated pricing analysis submissions, obtained stakeholder sign-off, and communicated final pricing decisions to the Sales team.</w:t>
      </w:r>
    </w:p>
    <w:p>
      <w:pPr>
        <w:pStyle w:val="ListBullet"/>
        <w:spacing w:before="20" w:after="20" w:line="260" w:lineRule="exact"/>
        <w:ind w:left="283"/>
      </w:pPr>
      <w:r>
        <w:rPr>
          <w:rFonts w:ascii="Calibri" w:hAnsi="Calibri"/>
          <w:b w:val="0"/>
          <w:i w:val="0"/>
          <w:color w:val="1A1A1A"/>
          <w:sz w:val="20"/>
        </w:rPr>
        <w:t>Quantified margin impacts across multiple deal scenarios through multi-variable sensitivity analysis, isolating key cost drivers and downside risks that shaped final bid strategy.</w:t>
      </w:r>
    </w:p>
    <w:p>
      <w:pPr>
        <w:pStyle w:val="ListBullet"/>
        <w:spacing w:before="20" w:after="20" w:line="260" w:lineRule="exact"/>
        <w:ind w:left="283"/>
      </w:pPr>
      <w:r>
        <w:rPr>
          <w:rFonts w:ascii="Calibri" w:hAnsi="Calibri"/>
          <w:b w:val="0"/>
          <w:i w:val="0"/>
          <w:color w:val="1A1A1A"/>
          <w:sz w:val="20"/>
        </w:rPr>
        <w:t>Designed automated performance dashboards in Excel VBA, reducing manual reporting time by 30% and accelerating decision-making cycles across the pricing team.</w:t>
      </w:r>
    </w:p>
    <w:p>
      <w:pPr>
        <w:pStyle w:val="ListBullet"/>
        <w:spacing w:before="20" w:after="20" w:line="260" w:lineRule="exact"/>
        <w:ind w:left="283"/>
      </w:pPr>
      <w:r>
        <w:rPr>
          <w:rFonts w:ascii="Calibri" w:hAnsi="Calibri"/>
          <w:b w:val="0"/>
          <w:i w:val="0"/>
          <w:color w:val="1A1A1A"/>
          <w:sz w:val="20"/>
        </w:rPr>
        <w:t>Surfaced margin-improvement opportunities by conducting variance and trend analysis on large pricing datasets, distilling complex figures into clear recommendations for non-financial stakeholders.</w:t>
      </w:r>
    </w:p>
    <w:p>
      <w:pPr>
        <w:spacing w:before="120" w:after="20"/>
      </w:pPr>
      <w:r>
        <w:rPr>
          <w:rFonts w:ascii="Calibri" w:hAnsi="Calibri"/>
          <w:b/>
          <w:i w:val="0"/>
          <w:color w:val="1B3A6B"/>
          <w:sz w:val="21"/>
        </w:rPr>
        <w:t>Finance Assistant</w:t>
      </w:r>
      <w:r>
        <w:rPr>
          <w:rFonts w:ascii="Calibri" w:hAnsi="Calibri"/>
          <w:b w:val="0"/>
          <w:i w:val="0"/>
          <w:color w:val="1A1A1A"/>
          <w:sz w:val="20"/>
        </w:rPr>
        <w:t xml:space="preserve">  |  SMS LLP (Mtandt Group)  |  Chennai, India  |  </w:t>
      </w:r>
      <w:r>
        <w:rPr>
          <w:rFonts w:ascii="Calibri" w:hAnsi="Calibri"/>
          <w:b w:val="0"/>
          <w:i/>
          <w:color w:val="2E6DA4"/>
          <w:sz w:val="20"/>
        </w:rPr>
        <w:t>Feb 2022 – May 2023</w:t>
      </w:r>
    </w:p>
    <w:p>
      <w:pPr>
        <w:pStyle w:val="ListBullet"/>
        <w:spacing w:before="20" w:after="20" w:line="260" w:lineRule="exact"/>
        <w:ind w:left="283"/>
      </w:pPr>
      <w:r>
        <w:rPr>
          <w:rFonts w:ascii="Calibri" w:hAnsi="Calibri"/>
          <w:b w:val="0"/>
          <w:i w:val="0"/>
          <w:color w:val="1A1A1A"/>
          <w:sz w:val="20"/>
        </w:rPr>
        <w:t>Produced monthly management accounts and forecasts that supported executive decision-making, consolidating financial statements into concise reporting packages for non-financial leaders.</w:t>
      </w:r>
    </w:p>
    <w:p>
      <w:pPr>
        <w:pStyle w:val="ListBullet"/>
        <w:spacing w:before="20" w:after="20" w:line="260" w:lineRule="exact"/>
        <w:ind w:left="283"/>
      </w:pPr>
      <w:r>
        <w:rPr>
          <w:rFonts w:ascii="Calibri" w:hAnsi="Calibri"/>
          <w:b w:val="0"/>
          <w:i w:val="0"/>
          <w:color w:val="1A1A1A"/>
          <w:sz w:val="20"/>
        </w:rPr>
        <w:t>Reduced potential financial losses by 12% by conducting inventory and asset-performance analysis and recommending targeted provisions to management.</w:t>
      </w:r>
    </w:p>
    <w:p>
      <w:pPr>
        <w:pStyle w:val="ListBullet"/>
        <w:spacing w:before="20" w:after="20" w:line="260" w:lineRule="exact"/>
        <w:ind w:left="283"/>
      </w:pPr>
      <w:r>
        <w:rPr>
          <w:rFonts w:ascii="Calibri" w:hAnsi="Calibri"/>
          <w:b w:val="0"/>
          <w:i w:val="0"/>
          <w:color w:val="1A1A1A"/>
          <w:sz w:val="20"/>
        </w:rPr>
        <w:t>Tracked financial performance against annual targets by supporting the budgeting cycle and delivering monthly variance analysis.</w:t>
      </w:r>
    </w:p>
    <w:p>
      <w:pPr>
        <w:spacing w:before="200" w:after="40"/>
        <w:pBdr>
          <w:bottom w:val="single" w:sz="8" w:space="1" w:color="1B3A6B"/>
        </w:pBdr>
      </w:pPr>
      <w:r>
        <w:rPr>
          <w:rFonts w:ascii="Calibri" w:hAnsi="Calibri"/>
          <w:b/>
          <w:i w:val="0"/>
          <w:color w:val="1B3A6B"/>
          <w:sz w:val="20"/>
        </w:rPr>
        <w:t>OPLEIDING  /  EDUCATION</w:t>
      </w:r>
    </w:p>
    <w:p>
      <w:pPr>
        <w:spacing w:before="120" w:after="20"/>
      </w:pPr>
      <w:r>
        <w:rPr>
          <w:rFonts w:ascii="Calibri" w:hAnsi="Calibri"/>
          <w:b/>
          <w:i w:val="0"/>
          <w:color w:val="1B3A6B"/>
          <w:sz w:val="21"/>
        </w:rPr>
        <w:t>MSc Finance</w:t>
      </w:r>
      <w:r>
        <w:rPr>
          <w:rFonts w:ascii="Calibri" w:hAnsi="Calibri"/>
          <w:b w:val="0"/>
          <w:i w:val="0"/>
          <w:color w:val="1A1A1A"/>
          <w:sz w:val="20"/>
        </w:rPr>
        <w:t xml:space="preserve">  |  Lancaster University Management School  |  Lancaster, UK  |  </w:t>
      </w:r>
      <w:r>
        <w:rPr>
          <w:rFonts w:ascii="Calibri" w:hAnsi="Calibri"/>
          <w:b w:val="0"/>
          <w:i/>
          <w:color w:val="2E6DA4"/>
          <w:sz w:val="20"/>
        </w:rPr>
        <w:t>Oct 2025 – Aug 2026</w:t>
      </w:r>
    </w:p>
    <w:p>
      <w:pPr>
        <w:spacing w:before="20" w:after="40" w:line="260" w:lineRule="exact"/>
        <w:ind w:left="227"/>
      </w:pPr>
      <w:r>
        <w:rPr>
          <w:rFonts w:ascii="Calibri" w:hAnsi="Calibri"/>
          <w:b w:val="0"/>
          <w:i/>
          <w:color w:val="444444"/>
          <w:sz w:val="20"/>
        </w:rPr>
        <w:t>First Class expected. Core modules: Advanced Investment Management, Financial Modelling &amp; Valuation, Python for Data Analysis, Bloomberg Terminal. Dissertation: ESG Debt Premium in the Syndicated Loan Market — panel regression on 135,000+ loan tranches (DealScan, Compustat, RepRisk) in R.</w:t>
      </w:r>
    </w:p>
    <w:p>
      <w:pPr>
        <w:spacing w:before="120" w:after="20"/>
      </w:pPr>
      <w:r>
        <w:rPr>
          <w:rFonts w:ascii="Calibri" w:hAnsi="Calibri"/>
          <w:b/>
          <w:i w:val="0"/>
          <w:color w:val="1B3A6B"/>
          <w:sz w:val="21"/>
        </w:rPr>
        <w:t>Master of Commerce (M.Com) — 82%</w:t>
      </w:r>
      <w:r>
        <w:rPr>
          <w:rFonts w:ascii="Calibri" w:hAnsi="Calibri"/>
          <w:b w:val="0"/>
          <w:i w:val="0"/>
          <w:color w:val="1A1A1A"/>
          <w:sz w:val="20"/>
        </w:rPr>
        <w:t xml:space="preserve">  |  KCS College of Arts and Science  |  Chennai, India  |  </w:t>
      </w:r>
      <w:r>
        <w:rPr>
          <w:rFonts w:ascii="Calibri" w:hAnsi="Calibri"/>
          <w:b w:val="0"/>
          <w:i/>
          <w:color w:val="2E6DA4"/>
          <w:sz w:val="20"/>
        </w:rPr>
        <w:t>Jun 2019 – Apr 2021</w:t>
      </w:r>
    </w:p>
    <w:p>
      <w:pPr>
        <w:spacing w:before="120" w:after="20"/>
      </w:pPr>
      <w:r>
        <w:rPr>
          <w:rFonts w:ascii="Calibri" w:hAnsi="Calibri"/>
          <w:b/>
          <w:i w:val="0"/>
          <w:color w:val="1B3A6B"/>
          <w:sz w:val="21"/>
        </w:rPr>
        <w:t>Bachelor of Commerce (B.Com) — 72%</w:t>
      </w:r>
      <w:r>
        <w:rPr>
          <w:rFonts w:ascii="Calibri" w:hAnsi="Calibri"/>
          <w:b w:val="0"/>
          <w:i w:val="0"/>
          <w:color w:val="1A1A1A"/>
          <w:sz w:val="20"/>
        </w:rPr>
        <w:t xml:space="preserve">  |  KCS College of Arts and Science  |  Chennai, India  |  </w:t>
      </w:r>
      <w:r>
        <w:rPr>
          <w:rFonts w:ascii="Calibri" w:hAnsi="Calibri"/>
          <w:b w:val="0"/>
          <w:i/>
          <w:color w:val="2E6DA4"/>
          <w:sz w:val="20"/>
        </w:rPr>
        <w:t>Jun 2016 – Apr 2019</w:t>
      </w:r>
    </w:p>
    <w:p>
      <w:pPr>
        <w:spacing w:before="200" w:after="40"/>
        <w:pBdr>
          <w:bottom w:val="single" w:sz="8" w:space="1" w:color="1B3A6B"/>
        </w:pBdr>
      </w:pPr>
      <w:r>
        <w:rPr>
          <w:rFonts w:ascii="Calibri" w:hAnsi="Calibri"/>
          <w:b/>
          <w:i w:val="0"/>
          <w:color w:val="1B3A6B"/>
          <w:sz w:val="20"/>
        </w:rPr>
        <w:t>PROJECTEN  /  PROJECTS</w:t>
      </w:r>
    </w:p>
    <w:p>
      <w:pPr>
        <w:spacing w:before="120" w:after="20"/>
      </w:pPr>
      <w:r>
        <w:rPr>
          <w:rFonts w:ascii="Calibri" w:hAnsi="Calibri"/>
          <w:b/>
          <w:i w:val="0"/>
          <w:color w:val="1B3A6B"/>
          <w:sz w:val="21"/>
        </w:rPr>
        <w:t>Health Insurance Pricing Model</w:t>
      </w:r>
      <w:r>
        <w:rPr>
          <w:rFonts w:ascii="Calibri" w:hAnsi="Calibri"/>
          <w:b w:val="0"/>
          <w:i/>
          <w:color w:val="2E6DA4"/>
          <w:sz w:val="19"/>
        </w:rPr>
        <w:t xml:space="preserve">  |  Python · Gamma GLM · pandas · statsmodels · HTML/JS</w:t>
      </w:r>
    </w:p>
    <w:p>
      <w:pPr>
        <w:spacing w:before="0" w:after="20"/>
      </w:pPr>
      <w:r>
        <w:rPr>
          <w:rFonts w:ascii="Calibri" w:hAnsi="Calibri"/>
          <w:b w:val="0"/>
          <w:i/>
          <w:color w:val="2E6DA4"/>
          <w:sz w:val="18"/>
        </w:rPr>
        <w:t>github.com/jeevajk21/Health-Insurance-Pricing-Model</w:t>
      </w:r>
    </w:p>
    <w:p>
      <w:pPr>
        <w:pStyle w:val="ListBullet"/>
        <w:spacing w:before="20" w:after="20" w:line="260" w:lineRule="exact"/>
        <w:ind w:left="283"/>
      </w:pPr>
      <w:r>
        <w:rPr>
          <w:rFonts w:ascii="Calibri" w:hAnsi="Calibri"/>
          <w:b w:val="0"/>
          <w:i w:val="0"/>
          <w:color w:val="1A1A1A"/>
          <w:sz w:val="20"/>
        </w:rPr>
        <w:t>Built an actuarial risk-based pricing model using a Gamma GLM (log-link regression) trained on 1,338 real insurance policies to estimate expected claim costs and derive premium relativities — mirroring the accessorial and rate-structure analysis central to the UPS Revenue Enablement role.</w:t>
      </w:r>
    </w:p>
    <w:p>
      <w:pPr>
        <w:pStyle w:val="ListBullet"/>
        <w:spacing w:before="20" w:after="20" w:line="260" w:lineRule="exact"/>
        <w:ind w:left="283"/>
      </w:pPr>
      <w:r>
        <w:rPr>
          <w:rFonts w:ascii="Calibri" w:hAnsi="Calibri"/>
          <w:b w:val="0"/>
          <w:i w:val="0"/>
          <w:color w:val="1A1A1A"/>
          <w:sz w:val="20"/>
        </w:rPr>
        <w:t>Constructed rating tables quantifying how risk factors (age, BMI, tobacco use) multiply the base premium; validated results using lift charts and coefficient significance tests (pseudo R² = 0.588, MAE = $4,389).</w:t>
      </w:r>
    </w:p>
    <w:p>
      <w:pPr>
        <w:pStyle w:val="ListBullet"/>
        <w:spacing w:before="20" w:after="20" w:line="260" w:lineRule="exact"/>
        <w:ind w:left="283"/>
      </w:pPr>
      <w:r>
        <w:rPr>
          <w:rFonts w:ascii="Calibri" w:hAnsi="Calibri"/>
          <w:b w:val="0"/>
          <w:i w:val="0"/>
          <w:color w:val="1A1A1A"/>
          <w:sz w:val="20"/>
        </w:rPr>
        <w:t>Developed an interactive HTML/JavaScript pricing dashboard enabling real-time premium calculations for different risk profiles, demonstrating the end-to-end pipeline from data to stakeholder-facing insight.</w:t>
      </w:r>
    </w:p>
    <w:p>
      <w:pPr>
        <w:spacing w:before="120" w:after="20"/>
      </w:pPr>
      <w:r>
        <w:rPr>
          <w:rFonts w:ascii="Calibri" w:hAnsi="Calibri"/>
          <w:b/>
          <w:i w:val="0"/>
          <w:color w:val="1B3A6B"/>
          <w:sz w:val="21"/>
        </w:rPr>
        <w:t>Agentic AI DCF Valuation — Interactive Equity Research Dashboard</w:t>
      </w:r>
      <w:r>
        <w:rPr>
          <w:rFonts w:ascii="Calibri" w:hAnsi="Calibri"/>
          <w:b w:val="0"/>
          <w:i/>
          <w:color w:val="2E6DA4"/>
          <w:sz w:val="19"/>
        </w:rPr>
        <w:t xml:space="preserve">  |  Python · yfinance · numpy · pandas · HTML</w:t>
      </w:r>
    </w:p>
    <w:p>
      <w:pPr>
        <w:spacing w:before="0" w:after="20"/>
      </w:pPr>
      <w:r>
        <w:rPr>
          <w:rFonts w:ascii="Calibri" w:hAnsi="Calibri"/>
          <w:b w:val="0"/>
          <w:i/>
          <w:color w:val="2E6DA4"/>
          <w:sz w:val="18"/>
        </w:rPr>
        <w:t>github.com/jeevajk21/Agentic-AI-DCF-Valuation</w:t>
      </w:r>
    </w:p>
    <w:p>
      <w:pPr>
        <w:pStyle w:val="ListBullet"/>
        <w:spacing w:before="20" w:after="20" w:line="260" w:lineRule="exact"/>
        <w:ind w:left="283"/>
      </w:pPr>
      <w:r>
        <w:rPr>
          <w:rFonts w:ascii="Calibri" w:hAnsi="Calibri"/>
          <w:b w:val="0"/>
          <w:i w:val="0"/>
          <w:color w:val="1A1A1A"/>
          <w:sz w:val="20"/>
        </w:rPr>
        <w:t>Designed a multi-method equity valuation tool combining DCF analysis (5-year projections, WACC, terminal value), peer-multiple relative valuation (P/E, EV/Revenue, EV/EBITDA), and Sum-of-Parts analysis, producing a triangulated implied share price.</w:t>
      </w:r>
    </w:p>
    <w:p>
      <w:pPr>
        <w:pStyle w:val="ListBullet"/>
        <w:spacing w:before="20" w:after="20" w:line="260" w:lineRule="exact"/>
        <w:ind w:left="283"/>
      </w:pPr>
      <w:r>
        <w:rPr>
          <w:rFonts w:ascii="Calibri" w:hAnsi="Calibri"/>
          <w:b w:val="0"/>
          <w:i w:val="0"/>
          <w:color w:val="1A1A1A"/>
          <w:sz w:val="20"/>
        </w:rPr>
        <w:t>Automated retrieval of 5 years of historical financials via yfinance; generated WACC × growth-rate sensitivity matrices and Bull/Base/Bear scenario analyses consistent with FP&amp;A best practice.</w:t>
      </w:r>
    </w:p>
    <w:p>
      <w:pPr>
        <w:pStyle w:val="ListBullet"/>
        <w:spacing w:before="20" w:after="20" w:line="260" w:lineRule="exact"/>
        <w:ind w:left="283"/>
      </w:pPr>
      <w:r>
        <w:rPr>
          <w:rFonts w:ascii="Calibri" w:hAnsi="Calibri"/>
          <w:b w:val="0"/>
          <w:i w:val="0"/>
          <w:color w:val="1A1A1A"/>
          <w:sz w:val="20"/>
        </w:rPr>
        <w:t>Produced an interactive HTML dashboard presenting structured insights and investment recommendations to a non-technical audience — directly reflecting the reporting and visualisation responsibilities of this role.</w:t>
      </w:r>
    </w:p>
    <w:p>
      <w:pPr>
        <w:spacing w:before="200" w:after="40"/>
        <w:pBdr>
          <w:bottom w:val="single" w:sz="8" w:space="1" w:color="1B3A6B"/>
        </w:pBdr>
      </w:pPr>
      <w:r>
        <w:rPr>
          <w:rFonts w:ascii="Calibri" w:hAnsi="Calibri"/>
          <w:b/>
          <w:i w:val="0"/>
          <w:color w:val="1B3A6B"/>
          <w:sz w:val="20"/>
        </w:rPr>
        <w:t>VAARDIGHEDEN  /  SKILLS</w:t>
      </w:r>
    </w:p>
    <w:p>
      <w:pPr>
        <w:spacing w:before="60" w:after="20" w:line="260" w:lineRule="exact"/>
      </w:pPr>
      <w:r>
        <w:rPr>
          <w:rFonts w:ascii="Calibri" w:hAnsi="Calibri"/>
          <w:b/>
          <w:i w:val="0"/>
          <w:color w:val="1B3A6B"/>
          <w:sz w:val="20"/>
        </w:rPr>
        <w:t xml:space="preserve">Analytisch / Technical:  </w:t>
      </w:r>
      <w:r>
        <w:rPr>
          <w:rFonts w:ascii="Calibri" w:hAnsi="Calibri"/>
          <w:b w:val="0"/>
          <w:i w:val="0"/>
          <w:color w:val="1A1A1A"/>
          <w:sz w:val="20"/>
        </w:rPr>
        <w:t>Advanced Excel (VBA, Power Query, Access), Python (pandas, statsmodels, data visualisation), Bloomberg Terminal, SQL, R (panel regression), PowerPoint</w:t>
      </w:r>
    </w:p>
    <w:p>
      <w:pPr>
        <w:spacing w:before="60" w:after="20" w:line="260" w:lineRule="exact"/>
      </w:pPr>
      <w:r>
        <w:rPr>
          <w:rFonts w:ascii="Calibri" w:hAnsi="Calibri"/>
          <w:b/>
          <w:i w:val="0"/>
          <w:color w:val="1B3A6B"/>
          <w:sz w:val="20"/>
        </w:rPr>
        <w:t xml:space="preserve">Financieel / Financial:  </w:t>
      </w:r>
      <w:r>
        <w:rPr>
          <w:rFonts w:ascii="Calibri" w:hAnsi="Calibri"/>
          <w:b w:val="0"/>
          <w:i w:val="0"/>
          <w:color w:val="1A1A1A"/>
          <w:sz w:val="20"/>
        </w:rPr>
        <w:t>Pricing &amp; Profitability Modelling, Revenue Analysis, Variance Analysis, Financial Forecasting, Scenario &amp; Sensitivity Analysis, Management Accounting, Equity Valuation (DCF, CAPM)</w:t>
      </w:r>
    </w:p>
    <w:p>
      <w:pPr>
        <w:spacing w:before="60" w:after="20" w:line="260" w:lineRule="exact"/>
      </w:pPr>
      <w:r>
        <w:rPr>
          <w:rFonts w:ascii="Calibri" w:hAnsi="Calibri"/>
          <w:b/>
          <w:i w:val="0"/>
          <w:color w:val="1B3A6B"/>
          <w:sz w:val="20"/>
        </w:rPr>
        <w:t xml:space="preserve">Certificaten / Certifications:  </w:t>
      </w:r>
      <w:r>
        <w:rPr>
          <w:rFonts w:ascii="Calibri" w:hAnsi="Calibri"/>
          <w:b w:val="0"/>
          <w:i w:val="0"/>
          <w:color w:val="1A1A1A"/>
          <w:sz w:val="20"/>
        </w:rPr>
        <w:t>CMA Intermediate — Institute of Cost Accountants of India (ICAI)</w:t>
      </w:r>
    </w:p>
    <w:p>
      <w:pPr>
        <w:spacing w:before="200" w:after="40"/>
        <w:pBdr>
          <w:bottom w:val="single" w:sz="8" w:space="1" w:color="1B3A6B"/>
        </w:pBdr>
      </w:pPr>
      <w:r>
        <w:rPr>
          <w:rFonts w:ascii="Calibri" w:hAnsi="Calibri"/>
          <w:b/>
          <w:i w:val="0"/>
          <w:color w:val="1B3A6B"/>
          <w:sz w:val="20"/>
        </w:rPr>
        <w:t>TALEN  /  LANGUAGES</w:t>
      </w:r>
    </w:p>
    <w:tbl>
      <w:tblPr>
        <w:tblStyle w:val="TableGrid"/>
        <w:tblW w:type="auto" w:w="0"/>
        <w:jc w:val="left"/>
        <w:tblLook w:firstColumn="1" w:firstRow="1" w:lastColumn="0" w:lastRow="0" w:noHBand="0" w:noVBand="1" w:val="04A0"/>
      </w:tblPr>
      <w:tblGrid>
        <w:gridCol w:w="4986"/>
        <w:gridCol w:w="4986"/>
      </w:tblGrid>
      <w:tr>
        <w:tc>
          <w:tcPr>
            <w:tcW w:type="dxa" w:w="4986"/>
            <w:shd w:val="clear" w:color="auto" w:fill="2E6DA4"/>
          </w:tcPr>
          <w:p>
            <w:pPr>
              <w:jc w:val="left"/>
            </w:pPr>
            <w:r>
              <w:rPr>
                <w:rFonts w:ascii="Calibri" w:hAnsi="Calibri"/>
                <w:b/>
                <w:i w:val="0"/>
                <w:color w:val="FFFFFF"/>
                <w:sz w:val="20"/>
              </w:rPr>
              <w:t>Taal / Language</w:t>
            </w:r>
          </w:p>
        </w:tc>
        <w:tc>
          <w:tcPr>
            <w:tcW w:type="dxa" w:w="4986"/>
            <w:shd w:val="clear" w:color="auto" w:fill="2E6DA4"/>
          </w:tcPr>
          <w:p>
            <w:pPr>
              <w:jc w:val="left"/>
            </w:pPr>
            <w:r>
              <w:rPr>
                <w:rFonts w:ascii="Calibri" w:hAnsi="Calibri"/>
                <w:b/>
                <w:i w:val="0"/>
                <w:color w:val="FFFFFF"/>
                <w:sz w:val="20"/>
              </w:rPr>
              <w:t>Niveau / Level</w:t>
            </w:r>
          </w:p>
        </w:tc>
      </w:tr>
      <w:tr>
        <w:tc>
          <w:tcPr>
            <w:tcW w:type="dxa" w:w="4986"/>
          </w:tcPr>
          <w:p>
            <w:pPr>
              <w:jc w:val="left"/>
            </w:pPr>
            <w:r>
              <w:rPr>
                <w:rFonts w:ascii="Calibri" w:hAnsi="Calibri"/>
                <w:b w:val="0"/>
                <w:i w:val="0"/>
                <w:color w:val="1A1A1A"/>
                <w:sz w:val="20"/>
              </w:rPr>
              <w:t>English</w:t>
            </w:r>
          </w:p>
        </w:tc>
        <w:tc>
          <w:tcPr>
            <w:tcW w:type="dxa" w:w="4986"/>
          </w:tcPr>
          <w:p>
            <w:pPr>
              <w:jc w:val="left"/>
            </w:pPr>
            <w:r>
              <w:rPr>
                <w:rFonts w:ascii="Calibri" w:hAnsi="Calibri"/>
                <w:b w:val="0"/>
                <w:i w:val="0"/>
                <w:color w:val="1A1A1A"/>
                <w:sz w:val="20"/>
              </w:rPr>
              <w:t>Full professional proficiency</w:t>
            </w:r>
          </w:p>
        </w:tc>
      </w:tr>
      <w:tr>
        <w:tc>
          <w:tcPr>
            <w:tcW w:type="dxa" w:w="4986"/>
          </w:tcPr>
          <w:p>
            <w:pPr>
              <w:jc w:val="left"/>
            </w:pPr>
            <w:r>
              <w:rPr>
                <w:rFonts w:ascii="Calibri" w:hAnsi="Calibri"/>
                <w:b w:val="0"/>
                <w:i w:val="0"/>
                <w:color w:val="1A1A1A"/>
                <w:sz w:val="20"/>
              </w:rPr>
              <w:t>Tamil</w:t>
            </w:r>
          </w:p>
        </w:tc>
        <w:tc>
          <w:tcPr>
            <w:tcW w:type="dxa" w:w="4986"/>
          </w:tcPr>
          <w:p>
            <w:pPr>
              <w:jc w:val="left"/>
            </w:pPr>
            <w:r>
              <w:rPr>
                <w:rFonts w:ascii="Calibri" w:hAnsi="Calibri"/>
                <w:b w:val="0"/>
                <w:i w:val="0"/>
                <w:color w:val="1A1A1A"/>
                <w:sz w:val="20"/>
              </w:rPr>
              <w:t>Native</w:t>
            </w:r>
          </w:p>
        </w:tc>
      </w:tr>
      <w:tr>
        <w:tc>
          <w:tcPr>
            <w:tcW w:type="dxa" w:w="4986"/>
          </w:tcPr>
          <w:p>
            <w:pPr>
              <w:jc w:val="left"/>
            </w:pPr>
            <w:r>
              <w:rPr>
                <w:rFonts w:ascii="Calibri" w:hAnsi="Calibri"/>
                <w:b w:val="0"/>
                <w:i w:val="0"/>
                <w:color w:val="1A1A1A"/>
                <w:sz w:val="20"/>
              </w:rPr>
              <w:t>Hindi</w:t>
            </w:r>
          </w:p>
        </w:tc>
        <w:tc>
          <w:tcPr>
            <w:tcW w:type="dxa" w:w="4986"/>
          </w:tcPr>
          <w:p>
            <w:pPr>
              <w:jc w:val="left"/>
            </w:pPr>
            <w:r>
              <w:rPr>
                <w:rFonts w:ascii="Calibri" w:hAnsi="Calibri"/>
                <w:b w:val="0"/>
                <w:i w:val="0"/>
                <w:color w:val="1A1A1A"/>
                <w:sz w:val="20"/>
              </w:rPr>
              <w:t>Conversational</w:t>
            </w:r>
          </w:p>
        </w:tc>
      </w:tr>
    </w:tbl>
    <w:p>
      <w:pPr>
        <w:spacing w:before="200" w:after="40"/>
        <w:pBdr>
          <w:bottom w:val="single" w:sz="8" w:space="1" w:color="1B3A6B"/>
        </w:pBdr>
      </w:pPr>
      <w:r>
        <w:rPr>
          <w:rFonts w:ascii="Calibri" w:hAnsi="Calibri"/>
          <w:b/>
          <w:i w:val="0"/>
          <w:color w:val="1B3A6B"/>
          <w:sz w:val="20"/>
        </w:rPr>
        <w:t>INTERESSES  /  INTERESTS</w:t>
      </w:r>
    </w:p>
    <w:p>
      <w:pPr>
        <w:spacing w:before="60" w:after="60"/>
      </w:pPr>
      <w:r>
        <w:rPr>
          <w:rFonts w:ascii="Calibri" w:hAnsi="Calibri"/>
          <w:b w:val="0"/>
          <w:i w:val="0"/>
          <w:color w:val="1A1A1A"/>
          <w:sz w:val="20"/>
        </w:rPr>
        <w:t>Chess  ·  Painting  ·  Financial Modelling  ·  Equity Research</w:t>
      </w:r>
    </w:p>
    <w:p>
      <w:pPr>
        <w:spacing w:before="120"/>
        <w:pBdr>
          <w:bottom w:val="single" w:sz="4" w:space="1" w:color="BBC6D4"/>
        </w:pBdr>
      </w:pPr>
      <w:r>
        <w:rPr>
          <w:rFonts w:ascii="Calibri" w:hAnsi="Calibri"/>
          <w:b w:val="0"/>
          <w:i/>
          <w:color w:val="555555"/>
          <w:sz w:val="18"/>
        </w:rPr>
        <w:t>Beschikbaarheid: Open voor hybride werken vanuit Nederland. Bereid tot relocatie.  (Availability: Open to hybrid working from the Netherlands. Willing to relocate.)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