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67F"/>
          <w:sz w:val="32"/>
        </w:rPr>
        <w:t>JEEVAKUMAR JAYACHANDRAN</w:t>
      </w:r>
    </w:p>
    <w:p>
      <w:pPr>
        <w:spacing w:after="80"/>
        <w:jc w:val="center"/>
      </w:pPr>
      <w:r>
        <w:rPr>
          <w:rFonts w:ascii="Calibri" w:hAnsi="Calibri"/>
          <w:b w:val="0"/>
          <w:sz w:val="18"/>
        </w:rPr>
        <w:t>Lancaster, UK  |  jeevajk2112@gmail.com  |  +44 7466 480480  |  linkedin.com/in/jeevakumar-j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PROFESSIONAL PROFILE</w:t>
      </w:r>
    </w:p>
    <w:p>
      <w:pPr>
        <w:spacing w:before="0" w:after="40"/>
      </w:pPr>
      <w:r>
        <w:rPr>
          <w:rFonts w:ascii="Calibri" w:hAnsi="Calibri"/>
          <w:b w:val="0"/>
          <w:sz w:val="19"/>
        </w:rPr>
        <w:t>MSc Finance graduate (First Class expected, Lancaster University) with two years' hands-on experience in FP&amp;A activities: overhead cost analysis, variance analysis, budgeting, forecasting, and management reporting. Adept at building financial models in Excel and translating complex data into clear insights for senior stakeholders. Part-qualified accountant (CIMA Management Case Study level) with strong commercial awareness developed across manufacturing-adjacent and professional services environments.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EDUCATION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MSc Finance</w:t>
      </w:r>
      <w:r>
        <w:rPr>
          <w:rFonts w:ascii="Calibri" w:hAnsi="Calibri"/>
          <w:b w:val="0"/>
          <w:i w:val="0"/>
          <w:sz w:val="18"/>
        </w:rPr>
        <w:tab/>
        <w:t>Oct 2025 – Aug 2026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Lancaster University Management School, Lancaster, UK</w:t>
      </w:r>
      <w:r>
        <w:rPr>
          <w:rFonts w:ascii="Calibri" w:hAnsi="Calibri"/>
          <w:b w:val="0"/>
          <w:i/>
          <w:sz w:val="19"/>
        </w:rPr>
        <w:tab/>
        <w:t>First Class (Expected)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Modules: Financial Modelling, Corporate Finance, Investment Analysis, Quantitative Methods, Bloomberg Terminal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Dissertation: Quantitative analysis of ESG factors and equity risk premia across FTSE 350 constituents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CIMA – Management Case Study Level (In Progress)</w:t>
      </w:r>
      <w:r>
        <w:rPr>
          <w:rFonts w:ascii="Calibri" w:hAnsi="Calibri"/>
          <w:b w:val="0"/>
          <w:i w:val="0"/>
          <w:sz w:val="18"/>
        </w:rPr>
        <w:tab/>
        <w:t>2025 – Present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Chartered Institute of Management Accountants</w:t>
      </w:r>
      <w:r>
        <w:rPr>
          <w:rFonts w:ascii="Calibri" w:hAnsi="Calibri"/>
          <w:b w:val="0"/>
          <w:i w:val="0"/>
          <w:sz w:val="19"/>
        </w:rPr>
        <w:tab/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Management level: Financial Reporting, Performance Management, Financial Management, Business Strategy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Master of Commerce (M.Com)</w:t>
      </w:r>
      <w:r>
        <w:rPr>
          <w:rFonts w:ascii="Calibri" w:hAnsi="Calibri"/>
          <w:b w:val="0"/>
          <w:i w:val="0"/>
          <w:sz w:val="18"/>
        </w:rPr>
        <w:tab/>
        <w:t>Jun 2019 – May 2021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University of Madras, India</w:t>
      </w:r>
      <w:r>
        <w:rPr>
          <w:rFonts w:ascii="Calibri" w:hAnsi="Calibri"/>
          <w:b w:val="0"/>
          <w:i/>
          <w:sz w:val="19"/>
        </w:rPr>
        <w:tab/>
        <w:t>First Class – 82%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Bachelor of Commerce (B.Com)</w:t>
      </w:r>
      <w:r>
        <w:rPr>
          <w:rFonts w:ascii="Calibri" w:hAnsi="Calibri"/>
          <w:b w:val="0"/>
          <w:i w:val="0"/>
          <w:sz w:val="18"/>
        </w:rPr>
        <w:tab/>
        <w:t>Jun 2016 – May 2019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University of Madras, India</w:t>
      </w:r>
      <w:r>
        <w:rPr>
          <w:rFonts w:ascii="Calibri" w:hAnsi="Calibri"/>
          <w:b w:val="0"/>
          <w:i/>
          <w:sz w:val="19"/>
        </w:rPr>
        <w:tab/>
        <w:t>First Class – 72%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PROFESSIONAL EXPERIENCE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Pricing Associate (Financial Analyst)</w:t>
      </w:r>
      <w:r>
        <w:rPr>
          <w:rFonts w:ascii="Calibri" w:hAnsi="Calibri"/>
          <w:b w:val="0"/>
          <w:i w:val="0"/>
          <w:sz w:val="18"/>
        </w:rPr>
        <w:tab/>
        <w:t>Jun 2023 – Sep 2025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Accenture, Bengaluru, India</w:t>
      </w:r>
      <w:r>
        <w:rPr>
          <w:rFonts w:ascii="Calibri" w:hAnsi="Calibri"/>
          <w:b w:val="0"/>
          <w:i w:val="0"/>
          <w:sz w:val="19"/>
        </w:rPr>
        <w:tab/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Supported overhead forecasting and cost analysis across 600+ financial models for large outsourcing contracts, producing accurate financial reports used by senior leadership to monitor performance against budget.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Prepared detailed variance analysis reports comparing actuals to forecast, identifying cost drivers and presenting findings to budget holders and senior stakeholders with clear narrative commentary.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Built multi-variable sensitivity models in Excel to assess overhead cost scenarios and margin impacts, supporting commercial decision-making and financial planning cycles.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Partnered with operations and commercial teams to deliver rolling forecasts and annual budgets, translating business assumptions into financial projections aligned with operational plans.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Reduced manual financial reporting time by 30% by automating overhead tracking dashboards using Excel VBA and Power Query, improving data accuracy and turnaround for senior reports.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Finance Assistant</w:t>
      </w:r>
      <w:r>
        <w:rPr>
          <w:rFonts w:ascii="Calibri" w:hAnsi="Calibri"/>
          <w:b w:val="0"/>
          <w:i w:val="0"/>
          <w:sz w:val="18"/>
        </w:rPr>
        <w:tab/>
        <w:t>Feb 2022 – May 2023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 w:val="0"/>
          <w:i/>
          <w:sz w:val="19"/>
        </w:rPr>
        <w:t>SMS LLP (Mtandt Group), Chennai, India</w:t>
      </w:r>
      <w:r>
        <w:rPr>
          <w:rFonts w:ascii="Calibri" w:hAnsi="Calibri"/>
          <w:b w:val="0"/>
          <w:i w:val="0"/>
          <w:sz w:val="19"/>
        </w:rPr>
        <w:tab/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Prepared monthly management accounts and variance analysis reports, monitoring actual costs and revenues against budget and providing commentary to support operational decisions.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Conducted detailed inventory and cost analysis that identified a 12% reduction in holding losses, presenting findings with supporting financial models to management.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Assisted in budgeting cycles including cost centre preparation, accruals, prepayments, and balance sheet reconciliations across multiple departments.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Maintained accurate financial records through journal postings and period-end close activities, ensuring data integrity for management reporting.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ACADEMIC PROJECTS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Unilever PLC – FCFF Valuation Model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Built a three-statement DCF model forecasting free cash flow to firm; benchmarked against analyst consensus using Bloomberg Terminal data.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20"/>
        </w:rPr>
        <w:t>FTSE 350 – CAPM &amp; Risk Analysis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Applied Fama-French three-factor model using R (panel regression) across FTSE 350; analysed systematic risk and equity risk premia.</w:t>
      </w:r>
    </w:p>
    <w:p>
      <w:pPr>
        <w:spacing w:before="120" w:after="40"/>
        <w:pBdr>
          <w:bottom w:val="single" w:sz="6" w:space="1" w:color="00468F"/>
        </w:pBdr>
      </w:pPr>
      <w:r>
        <w:rPr>
          <w:rFonts w:ascii="Calibri" w:hAnsi="Calibri"/>
          <w:b/>
          <w:color w:val="00467F"/>
          <w:sz w:val="20"/>
        </w:rPr>
        <w:t>SKILLS &amp; COMPETENCIES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FP&amp;A:</w:t>
      </w:r>
      <w:r>
        <w:rPr>
          <w:rFonts w:ascii="Calibri" w:hAnsi="Calibri"/>
          <w:b w:val="0"/>
          <w:i w:val="0"/>
          <w:sz w:val="19"/>
        </w:rPr>
        <w:tab/>
        <w:t>Overhead Forecasting, Budgeting, Variance Analysis, Cost Analysis, Management Reporting, KPI Tracking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Financial Modelling:</w:t>
      </w:r>
      <w:r>
        <w:rPr>
          <w:rFonts w:ascii="Calibri" w:hAnsi="Calibri"/>
          <w:b w:val="0"/>
          <w:i w:val="0"/>
          <w:sz w:val="19"/>
        </w:rPr>
        <w:tab/>
        <w:t>DCF, Sensitivity Analysis, Scenario Modelling, Profitability &amp; Cost Modelling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Technical Tools:</w:t>
      </w:r>
      <w:r>
        <w:rPr>
          <w:rFonts w:ascii="Calibri" w:hAnsi="Calibri"/>
          <w:b w:val="0"/>
          <w:i w:val="0"/>
          <w:sz w:val="19"/>
        </w:rPr>
        <w:tab/>
        <w:t>Advanced Excel (VBA, Power Query, Pivot Tables), Python (pandas), SQL, R, Power BI, Bloomberg Terminal</w:t>
      </w:r>
    </w:p>
    <w:p>
      <w:pPr>
        <w:tabs>
          <w:tab w:pos="9691" w:val="right"/>
        </w:tabs>
        <w:spacing w:before="0" w:after="20"/>
      </w:pPr>
      <w:r>
        <w:rPr>
          <w:rFonts w:ascii="Calibri" w:hAnsi="Calibri"/>
          <w:b/>
          <w:i w:val="0"/>
          <w:sz w:val="19"/>
        </w:rPr>
        <w:t>Professional:</w:t>
      </w:r>
      <w:r>
        <w:rPr>
          <w:rFonts w:ascii="Calibri" w:hAnsi="Calibri"/>
          <w:b w:val="0"/>
          <w:i w:val="0"/>
          <w:sz w:val="19"/>
        </w:rPr>
        <w:tab/>
        <w:t>CIMA – Management Case Study Level (in progress) | CMA Intermediate (ICAI)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