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exact"/>
        <w:jc w:val="center"/>
      </w:pPr>
      <w:r>
        <w:rPr>
          <w:rFonts w:ascii="Calibri" w:hAnsi="Calibri"/>
          <w:b/>
          <w:color w:val="000000"/>
          <w:sz w:val="30"/>
        </w:rPr>
        <w:t>JEEVAKUMAR JAYACHANDRAN</w:t>
      </w:r>
    </w:p>
    <w:p>
      <w:pPr>
        <w:spacing w:before="0" w:after="80" w:line="240" w:lineRule="exact"/>
        <w:jc w:val="center"/>
      </w:pPr>
      <w:r>
        <w:rPr>
          <w:rFonts w:ascii="Calibri" w:hAnsi="Calibri"/>
          <w:b w:val="0"/>
          <w:color w:val="000000"/>
          <w:sz w:val="20"/>
        </w:rPr>
        <w:t xml:space="preserve">Lancaster, UK   |   </w:t>
      </w:r>
      <w:hyperlink r:id="rId9">
        <w:r>
          <w:rPr>
            <w:rStyle w:val="Hyperlink"/>
            <w:color w:val="000000"/>
          </w:rPr>
          <w:t>jeevajk2112@gmail.com</w:t>
        </w:r>
      </w:hyperlink>
      <w:r>
        <w:rPr>
          <w:rFonts w:ascii="Calibri" w:hAnsi="Calibri"/>
          <w:b w:val="0"/>
          <w:color w:val="000000"/>
          <w:sz w:val="20"/>
        </w:rPr>
        <w:t xml:space="preserve">   |   +44 7466 480480   |   </w:t>
      </w:r>
      <w:hyperlink r:id="rId10">
        <w:r>
          <w:rPr>
            <w:rStyle w:val="Hyperlink"/>
            <w:color w:val="000000"/>
          </w:rPr>
          <w:t>linkedin.com/in/jeevakumar-j</w:t>
        </w:r>
      </w:hyperlink>
      <w:r>
        <w:rPr>
          <w:rFonts w:ascii="Calibri" w:hAnsi="Calibri"/>
          <w:b w:val="0"/>
          <w:color w:val="000000"/>
          <w:sz w:val="20"/>
        </w:rPr>
        <w:t xml:space="preserve">   |   </w:t>
      </w:r>
      <w:hyperlink r:id="rId11">
        <w:r>
          <w:rPr>
            <w:rStyle w:val="Hyperlink"/>
            <w:color w:val="000000"/>
          </w:rPr>
          <w:t>github.com/Jeevajk21</w:t>
        </w:r>
      </w:hyperlink>
    </w:p>
    <w:p>
      <w:pPr>
        <w:spacing w:before="40" w:after="40" w:line="240" w:lineRule="exact"/>
        <w:pBdr>
          <w:bottom w:val="single" w:sz="6" w:space="1" w:color="000000"/>
        </w:pBdr>
      </w:pPr>
    </w:p>
    <w:p>
      <w:pPr>
        <w:spacing w:before="120" w:after="60" w:line="240" w:lineRule="exact"/>
      </w:pPr>
      <w:r>
        <w:rPr>
          <w:rFonts w:ascii="Calibri" w:hAnsi="Calibri"/>
          <w:b/>
          <w:color w:val="000000"/>
          <w:sz w:val="22"/>
        </w:rPr>
        <w:t>EDUCATION</w:t>
      </w:r>
    </w:p>
    <w:p>
      <w:pPr>
        <w:spacing w:before="80" w:after="20" w:line="240" w:lineRule="exact"/>
      </w:pPr>
      <w:r>
        <w:rPr>
          <w:rFonts w:ascii="Calibri" w:hAnsi="Calibri"/>
          <w:b/>
          <w:color w:val="000000"/>
          <w:sz w:val="20"/>
        </w:rPr>
        <w:t>MSc Finance</w:t>
      </w:r>
      <w:r>
        <w:rPr>
          <w:rFonts w:ascii="Calibri" w:hAnsi="Calibri"/>
          <w:b w:val="0"/>
          <w:color w:val="000000"/>
          <w:sz w:val="20"/>
        </w:rPr>
        <w:t xml:space="preserve">  |  Lancaster University Management School, Lancaster, UK  |  </w:t>
      </w:r>
      <w:r>
        <w:rPr>
          <w:rFonts w:ascii="Calibri" w:hAnsi="Calibri"/>
          <w:b w:val="0"/>
          <w:i/>
          <w:color w:val="000000"/>
          <w:sz w:val="20"/>
        </w:rPr>
        <w:t>Oct 2025 – Aug 2026</w:t>
      </w:r>
    </w:p>
    <w:p>
      <w:pPr>
        <w:spacing w:before="20" w:after="20" w:line="240" w:lineRule="exact"/>
      </w:pPr>
      <w:r>
        <w:rPr>
          <w:rFonts w:ascii="Calibri" w:hAnsi="Calibri"/>
          <w:b w:val="0"/>
          <w:i/>
          <w:color w:val="000000"/>
          <w:sz w:val="20"/>
        </w:rPr>
        <w:t>First Class expected. Modules: Advanced Investment Management, Financial Modelling &amp; Valuation, Python for Data Analysis, Financial Databases (Bloomberg Terminal). Dissertation: “The ESG Debt Premium in the Syndicated Loan Market: Does It Survive Financial Distress?” — panel regression on 135,000+ syndicated loan tranches (DealScan, Compustat, RepRisk) in R.</w:t>
      </w:r>
    </w:p>
    <w:p>
      <w:pPr>
        <w:spacing w:before="80" w:after="20" w:line="240" w:lineRule="exact"/>
      </w:pPr>
      <w:r>
        <w:rPr>
          <w:rFonts w:ascii="Calibri" w:hAnsi="Calibri"/>
          <w:b/>
          <w:color w:val="000000"/>
          <w:sz w:val="20"/>
        </w:rPr>
        <w:t>Master of Commerce (M.Com), 82%</w:t>
      </w:r>
      <w:r>
        <w:rPr>
          <w:rFonts w:ascii="Calibri" w:hAnsi="Calibri"/>
          <w:b w:val="0"/>
          <w:color w:val="000000"/>
          <w:sz w:val="20"/>
        </w:rPr>
        <w:t xml:space="preserve">  |  KCS College of Arts and Science, Chennai, India  |  </w:t>
      </w:r>
      <w:r>
        <w:rPr>
          <w:rFonts w:ascii="Calibri" w:hAnsi="Calibri"/>
          <w:b w:val="0"/>
          <w:i/>
          <w:color w:val="000000"/>
          <w:sz w:val="20"/>
        </w:rPr>
        <w:t>Jun 2019 – Apr 2021</w:t>
      </w:r>
    </w:p>
    <w:p>
      <w:pPr>
        <w:spacing w:before="80" w:after="20" w:line="240" w:lineRule="exact"/>
      </w:pPr>
      <w:r>
        <w:rPr>
          <w:rFonts w:ascii="Calibri" w:hAnsi="Calibri"/>
          <w:b/>
          <w:color w:val="000000"/>
          <w:sz w:val="20"/>
        </w:rPr>
        <w:t>Bachelor of Commerce (B.Com), 72%</w:t>
      </w:r>
      <w:r>
        <w:rPr>
          <w:rFonts w:ascii="Calibri" w:hAnsi="Calibri"/>
          <w:b w:val="0"/>
          <w:color w:val="000000"/>
          <w:sz w:val="20"/>
        </w:rPr>
        <w:t xml:space="preserve">  |  KCS College of Arts and Science, Chennai, India  |  </w:t>
      </w:r>
      <w:r>
        <w:rPr>
          <w:rFonts w:ascii="Calibri" w:hAnsi="Calibri"/>
          <w:b w:val="0"/>
          <w:i/>
          <w:color w:val="000000"/>
          <w:sz w:val="20"/>
        </w:rPr>
        <w:t>Jun 2016 – Apr 2019</w:t>
      </w:r>
    </w:p>
    <w:p>
      <w:pPr>
        <w:spacing w:before="40" w:after="40" w:line="240" w:lineRule="exact"/>
        <w:pBdr>
          <w:bottom w:val="single" w:sz="6" w:space="1" w:color="000000"/>
        </w:pBdr>
      </w:pPr>
    </w:p>
    <w:p>
      <w:pPr>
        <w:spacing w:before="120" w:after="60" w:line="240" w:lineRule="exact"/>
      </w:pPr>
      <w:r>
        <w:rPr>
          <w:rFonts w:ascii="Calibri" w:hAnsi="Calibri"/>
          <w:b/>
          <w:color w:val="000000"/>
          <w:sz w:val="22"/>
        </w:rPr>
        <w:t>PROFESSIONAL EXPERIENCE</w:t>
      </w:r>
    </w:p>
    <w:p>
      <w:pPr>
        <w:spacing w:before="100" w:after="20" w:line="240" w:lineRule="exact"/>
      </w:pPr>
      <w:r>
        <w:rPr>
          <w:rFonts w:ascii="Calibri" w:hAnsi="Calibri"/>
          <w:b/>
          <w:color w:val="000000"/>
          <w:sz w:val="20"/>
        </w:rPr>
        <w:t>Pricing Associate (Financial Analyst)</w:t>
      </w:r>
      <w:r>
        <w:rPr>
          <w:rFonts w:ascii="Calibri" w:hAnsi="Calibri"/>
          <w:b w:val="0"/>
          <w:color w:val="000000"/>
          <w:sz w:val="20"/>
        </w:rPr>
        <w:t xml:space="preserve">  |  Accenture, Bengaluru, India  |  </w:t>
      </w:r>
      <w:r>
        <w:rPr>
          <w:rFonts w:ascii="Calibri" w:hAnsi="Calibri"/>
          <w:b w:val="0"/>
          <w:i/>
          <w:color w:val="000000"/>
          <w:sz w:val="20"/>
        </w:rPr>
        <w:t>Jun 2023 – Sep 2025</w:t>
      </w:r>
    </w:p>
    <w:p>
      <w:pPr>
        <w:pStyle w:val="ListBullet"/>
        <w:spacing w:before="0" w:after="40" w:line="240" w:lineRule="exact"/>
        <w:ind w:left="360" w:hanging="216"/>
      </w:pPr>
      <w:r>
        <w:rPr>
          <w:rFonts w:ascii="Calibri" w:hAnsi="Calibri"/>
          <w:b w:val="0"/>
          <w:color w:val="000000"/>
          <w:sz w:val="20"/>
        </w:rPr>
        <w:t>Engineered and maintained 600+ profitability models for multimillion-dollar outsourcing engagements, producing the revenue and cost forecasts that underpinned executive deal-approval decisions across complex, multi-party contracts.</w:t>
      </w:r>
    </w:p>
    <w:p>
      <w:pPr>
        <w:pStyle w:val="ListBullet"/>
        <w:spacing w:before="0" w:after="40" w:line="240" w:lineRule="exact"/>
        <w:ind w:left="360" w:hanging="216"/>
      </w:pPr>
      <w:r>
        <w:rPr>
          <w:rFonts w:ascii="Calibri" w:hAnsi="Calibri"/>
          <w:b w:val="0"/>
          <w:color w:val="000000"/>
          <w:sz w:val="20"/>
        </w:rPr>
        <w:t>Structured competitive pricing frameworks to balance contractor profitability and platform competitiveness, partnering with senior sales and finance stakeholders to evaluate deal economics, payment structures, and commercial terms.</w:t>
      </w:r>
    </w:p>
    <w:p>
      <w:pPr>
        <w:pStyle w:val="ListBullet"/>
        <w:spacing w:before="0" w:after="40" w:line="240" w:lineRule="exact"/>
        <w:ind w:left="360" w:hanging="216"/>
      </w:pPr>
      <w:r>
        <w:rPr>
          <w:rFonts w:ascii="Calibri" w:hAnsi="Calibri"/>
          <w:b w:val="0"/>
          <w:color w:val="000000"/>
          <w:sz w:val="20"/>
        </w:rPr>
        <w:t>Quantified margin impacts across multiple contractor-deal scenarios by running multi-variable sensitivity analysis, isolating key cost drivers and downside risks that shaped final pricing and bid strategy.</w:t>
      </w:r>
    </w:p>
    <w:p>
      <w:pPr>
        <w:pStyle w:val="ListBullet"/>
        <w:spacing w:before="0" w:after="40" w:line="240" w:lineRule="exact"/>
        <w:ind w:left="360" w:hanging="216"/>
      </w:pPr>
      <w:r>
        <w:rPr>
          <w:rFonts w:ascii="Calibri" w:hAnsi="Calibri"/>
          <w:b w:val="0"/>
          <w:color w:val="000000"/>
          <w:sz w:val="20"/>
        </w:rPr>
        <w:t>Reduced manual reporting time by 30% by engineering automated financial performance dashboards in Excel VBA, accelerating decision-making cycles and improving compliance reporting accuracy.</w:t>
      </w:r>
    </w:p>
    <w:p>
      <w:pPr>
        <w:pStyle w:val="ListBullet"/>
        <w:spacing w:before="0" w:after="40" w:line="240" w:lineRule="exact"/>
        <w:ind w:left="360" w:hanging="216"/>
      </w:pPr>
      <w:r>
        <w:rPr>
          <w:rFonts w:ascii="Calibri" w:hAnsi="Calibri"/>
          <w:b w:val="0"/>
          <w:color w:val="000000"/>
          <w:sz w:val="20"/>
        </w:rPr>
        <w:t>Distilled complex contractor financial data into actionable recommendations for non-financial stakeholders by conducting variance and trend analysis on large-scale pricing datasets.</w:t>
      </w:r>
    </w:p>
    <w:p>
      <w:pPr>
        <w:spacing w:before="100" w:after="20" w:line="240" w:lineRule="exact"/>
      </w:pPr>
      <w:r>
        <w:rPr>
          <w:rFonts w:ascii="Calibri" w:hAnsi="Calibri"/>
          <w:b/>
          <w:color w:val="000000"/>
          <w:sz w:val="20"/>
        </w:rPr>
        <w:t>Finance Assistant</w:t>
      </w:r>
      <w:r>
        <w:rPr>
          <w:rFonts w:ascii="Calibri" w:hAnsi="Calibri"/>
          <w:b w:val="0"/>
          <w:color w:val="000000"/>
          <w:sz w:val="20"/>
        </w:rPr>
        <w:t xml:space="preserve">  |  SMS LLP (Mtandt Group), Chennai, India  |  </w:t>
      </w:r>
      <w:r>
        <w:rPr>
          <w:rFonts w:ascii="Calibri" w:hAnsi="Calibri"/>
          <w:b w:val="0"/>
          <w:i/>
          <w:color w:val="000000"/>
          <w:sz w:val="20"/>
        </w:rPr>
        <w:t>Feb 2022 – May 2023</w:t>
      </w:r>
    </w:p>
    <w:p>
      <w:pPr>
        <w:pStyle w:val="ListBullet"/>
        <w:spacing w:before="0" w:after="40" w:line="240" w:lineRule="exact"/>
        <w:ind w:left="360" w:hanging="216"/>
      </w:pPr>
      <w:r>
        <w:rPr>
          <w:rFonts w:ascii="Calibri" w:hAnsi="Calibri"/>
          <w:b w:val="0"/>
          <w:color w:val="000000"/>
          <w:sz w:val="20"/>
        </w:rPr>
        <w:t>Produced monthly management accounts and financial forecasts that supported executive decision-making, consolidating contractor financial statements into concise reporting for non-financial leaders.</w:t>
      </w:r>
    </w:p>
    <w:p>
      <w:pPr>
        <w:pStyle w:val="ListBullet"/>
        <w:spacing w:before="0" w:after="40" w:line="240" w:lineRule="exact"/>
        <w:ind w:left="360" w:hanging="216"/>
      </w:pPr>
      <w:r>
        <w:rPr>
          <w:rFonts w:ascii="Calibri" w:hAnsi="Calibri"/>
          <w:b w:val="0"/>
          <w:color w:val="000000"/>
          <w:sz w:val="20"/>
        </w:rPr>
        <w:t>Reduced potential financial losses by 12% by reviewing and validating asset and inventory performance data against accounting standards, recommending targeted provisions to management.</w:t>
      </w:r>
    </w:p>
    <w:p>
      <w:pPr>
        <w:pStyle w:val="ListBullet"/>
        <w:spacing w:before="0" w:after="40" w:line="240" w:lineRule="exact"/>
        <w:ind w:left="360" w:hanging="216"/>
      </w:pPr>
      <w:r>
        <w:rPr>
          <w:rFonts w:ascii="Calibri" w:hAnsi="Calibri"/>
          <w:b w:val="0"/>
          <w:color w:val="000000"/>
          <w:sz w:val="20"/>
        </w:rPr>
        <w:t>Tracked financial performance against annual targets by supporting the budgeting cycle and delivering monthly variance analysis aligned with financial compliance and reporting frameworks.</w:t>
      </w:r>
    </w:p>
    <w:p>
      <w:pPr>
        <w:spacing w:before="40" w:after="40" w:line="240" w:lineRule="exact"/>
        <w:pBdr>
          <w:bottom w:val="single" w:sz="6" w:space="1" w:color="000000"/>
        </w:pBdr>
      </w:pPr>
    </w:p>
    <w:p>
      <w:pPr>
        <w:spacing w:before="120" w:after="60" w:line="240" w:lineRule="exact"/>
      </w:pPr>
      <w:r>
        <w:rPr>
          <w:rFonts w:ascii="Calibri" w:hAnsi="Calibri"/>
          <w:b/>
          <w:color w:val="000000"/>
          <w:sz w:val="22"/>
        </w:rPr>
        <w:t>INVESTMENT &amp; FINANCIAL ANALYSIS PROJECTS</w:t>
      </w:r>
    </w:p>
    <w:p>
      <w:pPr>
        <w:spacing w:before="100" w:after="20" w:line="240" w:lineRule="exact"/>
      </w:pPr>
      <w:r>
        <w:rPr>
          <w:rFonts w:ascii="Calibri" w:hAnsi="Calibri"/>
          <w:b/>
          <w:color w:val="000000"/>
          <w:sz w:val="20"/>
        </w:rPr>
        <w:t>Spotify: Agentic DCF Valuation &amp; Interactive Equity Research Dashboard</w:t>
      </w:r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12">
        <w:r>
          <w:rPr>
            <w:rStyle w:val="Hyperlink"/>
            <w:color w:val="000000"/>
          </w:rPr>
          <w:t>GitHub</w:t>
        </w:r>
      </w:hyperlink>
    </w:p>
    <w:p>
      <w:pPr>
        <w:pStyle w:val="ListBullet"/>
        <w:spacing w:before="0" w:after="40" w:line="240" w:lineRule="exact"/>
        <w:ind w:left="360" w:hanging="216"/>
      </w:pPr>
      <w:r>
        <w:rPr>
          <w:rFonts w:ascii="Calibri" w:hAnsi="Calibri"/>
          <w:b w:val="0"/>
          <w:color w:val="000000"/>
          <w:sz w:val="20"/>
        </w:rPr>
        <w:t>Constructed a full FCFF discounted cash flow model to forecast Spotify’s revenue and expenses across multiple growth scenarios, outputting dynamic valuation ranges via an interactive equity research dashboard.</w:t>
      </w:r>
    </w:p>
    <w:p>
      <w:pPr>
        <w:pStyle w:val="ListBullet"/>
        <w:spacing w:before="0" w:after="40" w:line="240" w:lineRule="exact"/>
        <w:ind w:left="360" w:hanging="216"/>
      </w:pPr>
      <w:r>
        <w:rPr>
          <w:rFonts w:ascii="Calibri" w:hAnsi="Calibri"/>
          <w:b w:val="0"/>
          <w:color w:val="000000"/>
          <w:sz w:val="20"/>
        </w:rPr>
        <w:t>Engineered scenario and sensitivity analysis across WACC, terminal growth rate, and margin assumptions to stress-test intrinsic value, producing an equity research–style recommendation with a defined price target.</w:t>
      </w:r>
    </w:p>
    <w:p>
      <w:pPr>
        <w:spacing w:before="100" w:after="20" w:line="240" w:lineRule="exact"/>
      </w:pPr>
      <w:r>
        <w:rPr>
          <w:rFonts w:ascii="Calibri" w:hAnsi="Calibri"/>
          <w:b/>
          <w:color w:val="000000"/>
          <w:sz w:val="20"/>
        </w:rPr>
        <w:t>AI-Powered Equity Research Agent</w:t>
      </w:r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13">
        <w:r>
          <w:rPr>
            <w:rStyle w:val="Hyperlink"/>
            <w:color w:val="000000"/>
          </w:rPr>
          <w:t>GitHub</w:t>
        </w:r>
      </w:hyperlink>
    </w:p>
    <w:p>
      <w:pPr>
        <w:pStyle w:val="ListBullet"/>
        <w:spacing w:before="0" w:after="40" w:line="240" w:lineRule="exact"/>
        <w:ind w:left="360" w:hanging="216"/>
      </w:pPr>
      <w:r>
        <w:rPr>
          <w:rFonts w:ascii="Calibri" w:hAnsi="Calibri"/>
          <w:b w:val="0"/>
          <w:color w:val="000000"/>
          <w:sz w:val="20"/>
        </w:rPr>
        <w:t>Developed an institutional-grade AI agent generating BUY/SELL/HOLD recommendations with price targets by integrating fundamental analysis, technical signals, and risk factors across multi-stock coverage.</w:t>
      </w:r>
    </w:p>
    <w:p>
      <w:pPr>
        <w:pStyle w:val="ListBullet"/>
        <w:spacing w:before="0" w:after="40" w:line="240" w:lineRule="exact"/>
        <w:ind w:left="360" w:hanging="216"/>
      </w:pPr>
      <w:r>
        <w:rPr>
          <w:rFonts w:ascii="Calibri" w:hAnsi="Calibri"/>
          <w:b w:val="0"/>
          <w:color w:val="000000"/>
          <w:sz w:val="20"/>
        </w:rPr>
        <w:t>Automated financial data ingestion and report generation, enabling scalable, real-time financial analysis with outputs structured for both financial and non-financial audiences.</w:t>
      </w:r>
    </w:p>
    <w:p>
      <w:pPr>
        <w:spacing w:before="100" w:after="20" w:line="240" w:lineRule="exact"/>
      </w:pPr>
      <w:r>
        <w:rPr>
          <w:rFonts w:ascii="Calibri" w:hAnsi="Calibri"/>
          <w:b/>
          <w:color w:val="000000"/>
          <w:sz w:val="20"/>
        </w:rPr>
        <w:t>Unilever PLC: Intrinsic Valuation via FCFF DCF Model</w:t>
      </w:r>
    </w:p>
    <w:p>
      <w:pPr>
        <w:pStyle w:val="ListBullet"/>
        <w:spacing w:before="0" w:after="40" w:line="240" w:lineRule="exact"/>
        <w:ind w:left="360" w:hanging="216"/>
      </w:pPr>
      <w:r>
        <w:rPr>
          <w:rFonts w:ascii="Calibri" w:hAnsi="Calibri"/>
          <w:b w:val="0"/>
          <w:color w:val="000000"/>
          <w:sz w:val="20"/>
        </w:rPr>
        <w:t>Valued Unilever’s intrinsic equity by building a full FCFF discounted cash flow model, stress-testing outputs through scenario and sensitivity analysis across WACC, terminal growth, and operating-margin assumptions.</w:t>
      </w:r>
    </w:p>
    <w:p>
      <w:pPr>
        <w:pStyle w:val="ListBullet"/>
        <w:spacing w:before="0" w:after="40" w:line="240" w:lineRule="exact"/>
        <w:ind w:left="360" w:hanging="216"/>
      </w:pPr>
      <w:r>
        <w:rPr>
          <w:rFonts w:ascii="Calibri" w:hAnsi="Calibri"/>
          <w:b w:val="0"/>
          <w:color w:val="000000"/>
          <w:sz w:val="20"/>
        </w:rPr>
        <w:t>Framed an equity-research-style recommendation identifying Unilever as a defensive, cash-generative business with limited near-term upside, driven by macro and discount-rate risk.</w:t>
      </w:r>
    </w:p>
    <w:p>
      <w:pPr>
        <w:spacing w:before="100" w:after="20" w:line="240" w:lineRule="exact"/>
      </w:pPr>
      <w:r>
        <w:rPr>
          <w:rFonts w:ascii="Calibri" w:hAnsi="Calibri"/>
          <w:b/>
          <w:color w:val="000000"/>
          <w:sz w:val="20"/>
        </w:rPr>
        <w:t>FTSE 350 Portfolio: Equity Valuation &amp; Risk Analysis</w:t>
      </w:r>
    </w:p>
    <w:p>
      <w:pPr>
        <w:pStyle w:val="ListBullet"/>
        <w:spacing w:before="0" w:after="40" w:line="240" w:lineRule="exact"/>
        <w:ind w:left="360" w:hanging="216"/>
      </w:pPr>
      <w:r>
        <w:rPr>
          <w:rFonts w:ascii="Calibri" w:hAnsi="Calibri"/>
          <w:b w:val="0"/>
          <w:color w:val="000000"/>
          <w:sz w:val="20"/>
        </w:rPr>
        <w:t>Calculated beta and risk-adjusted expected returns for 10 FTSE 350 companies applying CAPM, flagging HSBC and Barclays as undervalued (Buy/Hold) and Glencore and Unilever as overvalued (Sell).</w:t>
      </w:r>
    </w:p>
    <w:p>
      <w:pPr>
        <w:pStyle w:val="ListBullet"/>
        <w:spacing w:before="0" w:after="40" w:line="240" w:lineRule="exact"/>
        <w:ind w:left="360" w:hanging="216"/>
      </w:pPr>
      <w:r>
        <w:rPr>
          <w:rFonts w:ascii="Calibri" w:hAnsi="Calibri"/>
          <w:b w:val="0"/>
          <w:color w:val="000000"/>
          <w:sz w:val="20"/>
        </w:rPr>
        <w:t>Formulated buy/sell rationale grounded in systematic-risk and return-risk trade-off frameworks.</w:t>
      </w:r>
    </w:p>
    <w:p>
      <w:pPr>
        <w:spacing w:before="40" w:after="40" w:line="240" w:lineRule="exact"/>
        <w:pBdr>
          <w:bottom w:val="single" w:sz="6" w:space="1" w:color="000000"/>
        </w:pBdr>
      </w:pPr>
    </w:p>
    <w:p>
      <w:pPr>
        <w:spacing w:before="120" w:after="60" w:line="240" w:lineRule="exact"/>
      </w:pPr>
      <w:r>
        <w:rPr>
          <w:rFonts w:ascii="Calibri" w:hAnsi="Calibri"/>
          <w:b/>
          <w:color w:val="000000"/>
          <w:sz w:val="22"/>
        </w:rPr>
        <w:t>SKILLS &amp; INTERESTS</w:t>
      </w:r>
    </w:p>
    <w:p>
      <w:pPr>
        <w:spacing w:before="40" w:after="40" w:line="240" w:lineRule="exact"/>
      </w:pPr>
      <w:r>
        <w:rPr>
          <w:rFonts w:ascii="Calibri" w:hAnsi="Calibri"/>
          <w:b/>
          <w:color w:val="000000"/>
          <w:sz w:val="20"/>
        </w:rPr>
        <w:t xml:space="preserve">Technical Tools: </w:t>
      </w:r>
      <w:r>
        <w:rPr>
          <w:rFonts w:ascii="Calibri" w:hAnsi="Calibri"/>
          <w:b w:val="0"/>
          <w:color w:val="000000"/>
          <w:sz w:val="20"/>
        </w:rPr>
        <w:t>Advanced Excel (VBA, Power Query), Bloomberg Terminal, Python (pandas, data visualisation), R (panel regression), SQL, PowerPoint</w:t>
      </w:r>
    </w:p>
    <w:p>
      <w:pPr>
        <w:spacing w:before="40" w:after="40" w:line="240" w:lineRule="exact"/>
      </w:pPr>
      <w:r>
        <w:rPr>
          <w:rFonts w:ascii="Calibri" w:hAnsi="Calibri"/>
          <w:b/>
          <w:color w:val="000000"/>
          <w:sz w:val="20"/>
        </w:rPr>
        <w:t xml:space="preserve">Financial Competencies: </w:t>
      </w:r>
      <w:r>
        <w:rPr>
          <w:rFonts w:ascii="Calibri" w:hAnsi="Calibri"/>
          <w:b w:val="0"/>
          <w:color w:val="000000"/>
          <w:sz w:val="20"/>
        </w:rPr>
        <w:t>Financial Modelling &amp; Forecasting, Profitability &amp; Cost Analysis, Pricing Strategy, Scenario &amp; Sensitivity Analysis, Management Accounting, Variance Analysis, Financial Reporting &amp; Compliance, Equity Valuation (DCF, CAPM)</w:t>
      </w:r>
    </w:p>
    <w:p>
      <w:pPr>
        <w:spacing w:before="40" w:after="40" w:line="240" w:lineRule="exact"/>
      </w:pPr>
      <w:r>
        <w:rPr>
          <w:rFonts w:ascii="Calibri" w:hAnsi="Calibri"/>
          <w:b/>
          <w:color w:val="000000"/>
          <w:sz w:val="20"/>
        </w:rPr>
        <w:t xml:space="preserve">Certifications: </w:t>
      </w:r>
      <w:r>
        <w:rPr>
          <w:rFonts w:ascii="Calibri" w:hAnsi="Calibri"/>
          <w:b w:val="0"/>
          <w:color w:val="000000"/>
          <w:sz w:val="20"/>
        </w:rPr>
        <w:t>CMA Intermediate, Institute of Cost Accountants of India (ICAI)</w:t>
      </w:r>
    </w:p>
    <w:p>
      <w:pPr>
        <w:spacing w:before="40" w:after="40" w:line="240" w:lineRule="exact"/>
      </w:pPr>
      <w:r>
        <w:rPr>
          <w:rFonts w:ascii="Calibri" w:hAnsi="Calibri"/>
          <w:b/>
          <w:color w:val="000000"/>
          <w:sz w:val="20"/>
        </w:rPr>
        <w:t xml:space="preserve">Interests: </w:t>
      </w:r>
      <w:r>
        <w:rPr>
          <w:rFonts w:ascii="Calibri" w:hAnsi="Calibri"/>
          <w:b w:val="0"/>
          <w:color w:val="000000"/>
          <w:sz w:val="20"/>
        </w:rPr>
        <w:t>Chess, Painting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eevajk2112@gmail.com" TargetMode="External"/><Relationship Id="rId10" Type="http://schemas.openxmlformats.org/officeDocument/2006/relationships/hyperlink" Target="https://linkedin.com/in/jeevakumar-j" TargetMode="External"/><Relationship Id="rId11" Type="http://schemas.openxmlformats.org/officeDocument/2006/relationships/hyperlink" Target="https://github.com/Jeevajk21" TargetMode="External"/><Relationship Id="rId12" Type="http://schemas.openxmlformats.org/officeDocument/2006/relationships/hyperlink" Target="https://github.com/Jeevajk21/Agentic-AI-DCF-Valuation" TargetMode="External"/><Relationship Id="rId13" Type="http://schemas.openxmlformats.org/officeDocument/2006/relationships/hyperlink" Target="https://github.com/Jeevajk21/Equity-research-ai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