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000000"/>
          <w:sz w:val="28"/>
        </w:rPr>
        <w:t>Jeevakumar Jayachandran</w:t>
      </w:r>
    </w:p>
    <w:p>
      <w:pPr>
        <w:spacing w:before="0" w:after="20"/>
      </w:pPr>
      <w:r>
        <w:rPr>
          <w:rFonts w:ascii="Calibri" w:hAnsi="Calibri"/>
          <w:b w:val="0"/>
          <w:i w:val="0"/>
          <w:color w:val="000000"/>
          <w:sz w:val="20"/>
        </w:rPr>
        <w:t xml:space="preserve">Lancaster, UK  |  </w:t>
      </w:r>
      <w:hyperlink r:id="rId9">
        <w:r>
          <w:rPr>
            <w:color w:val="000000"/>
            <w:sz w:val="21"/>
            <w:rFonts w:ascii="Calibri" w:hAnsi="Calibri"/>
          </w:rPr>
          <w:t>jeevajk2112@gmail.com</w:t>
        </w:r>
      </w:hyperlink>
      <w:r>
        <w:rPr>
          <w:rFonts w:ascii="Calibri" w:hAnsi="Calibri"/>
          <w:b w:val="0"/>
          <w:i w:val="0"/>
          <w:color w:val="000000"/>
          <w:sz w:val="20"/>
        </w:rPr>
        <w:t xml:space="preserve">  |  +44 7466 480480  |  </w:t>
      </w:r>
      <w:hyperlink r:id="rId10">
        <w:r>
          <w:rPr>
            <w:color w:val="000000"/>
            <w:sz w:val="21"/>
            <w:rFonts w:ascii="Calibri" w:hAnsi="Calibri"/>
          </w:rPr>
          <w:t>linkedin.com/in/jeevakumar-j</w:t>
        </w:r>
      </w:hyperlink>
    </w:p>
    <w:p>
      <w:pPr>
        <w:spacing w:before="200" w:after="80"/>
      </w:pPr>
      <w:r>
        <w:rPr>
          <w:rFonts w:ascii="Calibri" w:hAnsi="Calibri"/>
          <w:b w:val="0"/>
          <w:i w:val="0"/>
          <w:color w:val="000000"/>
          <w:sz w:val="21"/>
        </w:rPr>
        <w:t>2026-06-12</w:t>
      </w:r>
    </w:p>
    <w:p>
      <w:pPr>
        <w:spacing w:before="0" w:after="20"/>
      </w:pPr>
      <w:r>
        <w:rPr>
          <w:rFonts w:ascii="Calibri" w:hAnsi="Calibri"/>
          <w:b/>
          <w:i w:val="0"/>
          <w:color w:val="000000"/>
          <w:sz w:val="21"/>
        </w:rPr>
        <w:t>Hiring Manager</w:t>
      </w:r>
    </w:p>
    <w:p>
      <w:pPr>
        <w:spacing w:before="0" w:after="20"/>
      </w:pPr>
      <w:r>
        <w:rPr>
          <w:rFonts w:ascii="Calibri" w:hAnsi="Calibri"/>
          <w:b w:val="0"/>
          <w:i w:val="0"/>
          <w:color w:val="000000"/>
          <w:sz w:val="21"/>
        </w:rPr>
        <w:t>Michael Page</w:t>
      </w:r>
    </w:p>
    <w:p>
      <w:pPr>
        <w:spacing w:before="0" w:after="240"/>
      </w:pPr>
      <w:r>
        <w:rPr>
          <w:rFonts w:ascii="Calibri" w:hAnsi="Calibri"/>
          <w:b w:val="0"/>
          <w:i w:val="0"/>
          <w:color w:val="000000"/>
          <w:sz w:val="21"/>
        </w:rPr>
        <w:t>St Helens, England, United Kingdom</w:t>
      </w:r>
    </w:p>
    <w:p>
      <w:pPr>
        <w:spacing w:before="0" w:after="200"/>
      </w:pPr>
      <w:r>
        <w:rPr>
          <w:rFonts w:ascii="Calibri" w:hAnsi="Calibri"/>
          <w:b/>
          <w:i w:val="0"/>
          <w:color w:val="000000"/>
          <w:sz w:val="21"/>
        </w:rPr>
        <w:t>Re: Application for Assistant Management Accountant</w:t>
      </w:r>
    </w:p>
    <w:p>
      <w:pPr>
        <w:spacing w:before="0" w:after="160"/>
      </w:pPr>
      <w:r>
        <w:rPr>
          <w:rFonts w:ascii="Calibri" w:hAnsi="Calibri"/>
          <w:b w:val="0"/>
          <w:i w:val="0"/>
          <w:color w:val="000000"/>
          <w:sz w:val="21"/>
        </w:rPr>
        <w:t>Dear Hiring Manager,</w:t>
      </w:r>
    </w:p>
    <w:p>
      <w:pPr>
        <w:spacing w:before="0" w:after="160"/>
      </w:pPr>
      <w:r>
        <w:rPr>
          <w:rFonts w:ascii="Calibri" w:hAnsi="Calibri"/>
          <w:b w:val="0"/>
          <w:i w:val="0"/>
          <w:color w:val="000000"/>
          <w:sz w:val="21"/>
        </w:rPr>
        <w:t>Few retailers operate at the scale that demands a truly rigorous management accounting function — one where accurate monthly reporting, disciplined balance sheet reconciliation, and proactive variance analysis directly inform commercial decisions. This Assistant Management Accountant opportunity via Michael Page in St Helens is precisely the environment where my hands-on accounting experience and analytical capability can make an immediate contribution.</w:t>
      </w:r>
    </w:p>
    <w:p>
      <w:pPr>
        <w:spacing w:before="0" w:after="160"/>
      </w:pPr>
      <w:r>
        <w:rPr>
          <w:rFonts w:ascii="Calibri" w:hAnsi="Calibri"/>
          <w:b w:val="0"/>
          <w:i w:val="0"/>
          <w:color w:val="000000"/>
          <w:sz w:val="21"/>
        </w:rPr>
        <w:t>At SMS LLP, I owned the end-to-end monthly management accounts process — preparing profit and loss statements and balance sheets, reconciling balance sheet accounts, processing accruals, prepayments, and journal entries, and delivering VAT returns accurately and on time. I supported the annual budgeting and forecasting cycle by gathering and validating financial data across business units, and produced monthly variance analysis against targets to surface deviations and drive corrective action. Proactive inventory and asset-performance analysis led directly to a 12% reduction in potential financial losses — a result grounded in attention to detail and a willingness to interrogate the numbers rather than simply report them.</w:t>
      </w:r>
    </w:p>
    <w:p>
      <w:pPr>
        <w:spacing w:before="0" w:after="160"/>
      </w:pPr>
      <w:r>
        <w:rPr>
          <w:rFonts w:ascii="Calibri" w:hAnsi="Calibri"/>
          <w:b w:val="0"/>
          <w:i w:val="0"/>
          <w:color w:val="000000"/>
          <w:sz w:val="21"/>
        </w:rPr>
        <w:t>At Accenture, I extended this foundation into a high-volume commercial finance environment, building 600+ pricing and profitability models and automating management reporting in Excel VBA to reduce manual effort by 30%. Collaborating cross-functionally across finance, sales, and operations to ensure accurate cost allocation sharpened both my technical rigour and my ability to communicate financial insight clearly to non-financial stakeholders — a skill directly relevant to a team-facing role like this one.</w:t>
      </w:r>
    </w:p>
    <w:p>
      <w:pPr>
        <w:spacing w:before="0" w:after="160"/>
      </w:pPr>
      <w:r>
        <w:rPr>
          <w:rFonts w:ascii="Calibri" w:hAnsi="Calibri"/>
          <w:b w:val="0"/>
          <w:i w:val="0"/>
          <w:color w:val="000000"/>
          <w:sz w:val="21"/>
        </w:rPr>
        <w:t>My MSc Finance at Lancaster University Management School, where I am on track for a First Class, has further strengthened my quantitative and modelling capabilities. My CMA Intermediate qualification — awarded by the Institute of Cost Accountants of India, broadly equivalent to CIMA/ACCA part-qualified — reflects a sustained commitment to professional development in management accounting.</w:t>
      </w:r>
    </w:p>
    <w:p>
      <w:pPr>
        <w:spacing w:before="0" w:after="160"/>
      </w:pPr>
      <w:r>
        <w:rPr>
          <w:rFonts w:ascii="Calibri" w:hAnsi="Calibri"/>
          <w:b w:val="0"/>
          <w:i w:val="0"/>
          <w:color w:val="000000"/>
          <w:sz w:val="21"/>
        </w:rPr>
        <w:t>I would welcome the opportunity to discuss how my background in management accounts preparation, reconciliation, compliance reporting, and variance analysis can add value to your client's Accounting &amp; Finance team. I am available at your convenience and can be reached at jeevajk2112@gmail.com or +44 7466 480480.</w:t>
      </w:r>
    </w:p>
    <w:p>
      <w:pPr>
        <w:spacing w:before="160" w:after="320"/>
      </w:pPr>
      <w:r>
        <w:rPr>
          <w:rFonts w:ascii="Calibri" w:hAnsi="Calibri"/>
          <w:b w:val="0"/>
          <w:i w:val="0"/>
          <w:color w:val="000000"/>
          <w:sz w:val="21"/>
        </w:rPr>
        <w:t>Yours sincerely,</w:t>
      </w:r>
    </w:p>
    <w:p>
      <w:pPr>
        <w:spacing w:before="0" w:after="80"/>
      </w:pPr>
      <w:r>
        <w:rPr>
          <w:rFonts w:ascii="Calibri" w:hAnsi="Calibri"/>
          <w:b/>
          <w:i w:val="0"/>
          <w:color w:val="000000"/>
          <w:sz w:val="21"/>
        </w:rPr>
        <w:t>Jeevakumar Jayachandran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eevajk2112@gmail.com" TargetMode="External"/><Relationship Id="rId10" Type="http://schemas.openxmlformats.org/officeDocument/2006/relationships/hyperlink" Target="https://linkedin.com/in/jeevakumar-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