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color w:val="000000"/>
          <w:sz w:val="30"/>
        </w:rPr>
        <w:t>JEEVAKUMAR JAYACHANDRAN</w:t>
      </w:r>
    </w:p>
    <w:p>
      <w:pPr>
        <w:spacing w:before="0" w:after="20"/>
        <w:jc w:val="center"/>
      </w:pPr>
      <w:r>
        <w:rPr>
          <w:rFonts w:ascii="Calibri" w:hAnsi="Calibri"/>
          <w:b w:val="0"/>
          <w:i w:val="0"/>
          <w:color w:val="000000"/>
          <w:sz w:val="20"/>
        </w:rPr>
        <w:t xml:space="preserve">Lancaster, UK  |  </w:t>
      </w:r>
      <w:hyperlink r:id="rId9">
        <w:r>
          <w:rPr>
            <w:rStyle w:val="Hyperlink"/>
            <w:color w:val="000000"/>
            <w:sz w:val="20"/>
          </w:rPr>
          <w:t>jeevajk2112@gmail.com</w:t>
        </w:r>
      </w:hyperlink>
      <w:r>
        <w:rPr>
          <w:rFonts w:ascii="Calibri" w:hAnsi="Calibri"/>
          <w:b w:val="0"/>
          <w:i w:val="0"/>
          <w:color w:val="000000"/>
          <w:sz w:val="20"/>
        </w:rPr>
        <w:t xml:space="preserve">  |  +44 7466 480480  |  </w:t>
      </w:r>
      <w:hyperlink r:id="rId10">
        <w:r>
          <w:rPr>
            <w:rStyle w:val="Hyperlink"/>
            <w:color w:val="000000"/>
            <w:sz w:val="20"/>
          </w:rPr>
          <w:t>linkedin.com/in/jeevakumar-j</w:t>
        </w:r>
      </w:hyperlink>
    </w:p>
    <w:p>
      <w:pPr>
        <w:spacing w:before="0" w:after="0"/>
        <w:pBdr>
          <w:bottom w:val="single" w:sz="6" w:space="1" w:color="000000"/>
        </w:pBdr>
      </w:pPr>
    </w:p>
    <w:p>
      <w:pPr>
        <w:spacing w:before="140" w:after="60"/>
      </w:pPr>
      <w:r>
        <w:rPr>
          <w:rFonts w:ascii="Calibri" w:hAnsi="Calibri"/>
          <w:b/>
          <w:i w:val="0"/>
          <w:color w:val="000000"/>
          <w:sz w:val="22"/>
        </w:rPr>
        <w:t>EDUCATION</w:t>
      </w:r>
    </w:p>
    <w:p>
      <w:pPr>
        <w:spacing w:before="0" w:after="0"/>
        <w:pBdr>
          <w:bottom w:val="single" w:sz="6" w:space="1" w:color="000000"/>
        </w:pBdr>
      </w:pPr>
    </w:p>
    <w:p>
      <w:pPr>
        <w:spacing w:before="60" w:after="20"/>
      </w:pPr>
      <w:r>
        <w:rPr>
          <w:rFonts w:ascii="Calibri" w:hAnsi="Calibri"/>
          <w:b/>
          <w:i w:val="0"/>
          <w:color w:val="000000"/>
          <w:sz w:val="20"/>
        </w:rPr>
        <w:t>MSc Finance</w:t>
      </w:r>
      <w:r>
        <w:rPr>
          <w:rFonts w:ascii="Calibri" w:hAnsi="Calibri"/>
          <w:b w:val="0"/>
          <w:i w:val="0"/>
          <w:color w:val="000000"/>
          <w:sz w:val="20"/>
        </w:rPr>
        <w:t xml:space="preserve">  |  Lancaster University Management School, Lancaster, UK  |  </w:t>
      </w:r>
      <w:r>
        <w:rPr>
          <w:rFonts w:ascii="Calibri" w:hAnsi="Calibri"/>
          <w:b w:val="0"/>
          <w:i/>
          <w:color w:val="000000"/>
          <w:sz w:val="20"/>
        </w:rPr>
        <w:t>Oct 2025 – Aug 2026</w:t>
      </w:r>
    </w:p>
    <w:p>
      <w:pPr>
        <w:spacing w:before="0" w:after="40"/>
        <w:ind w:left="288"/>
      </w:pPr>
      <w:r>
        <w:rPr>
          <w:rFonts w:ascii="Calibri" w:hAnsi="Calibri"/>
          <w:b w:val="0"/>
          <w:i/>
          <w:color w:val="000000"/>
          <w:sz w:val="20"/>
        </w:rPr>
        <w:t>First Class expected. Modules: Advanced Investment Management, Financial Modelling &amp; Valuation, Python for Data Analysis, Bloomberg Terminal. Dissertation: ESG Debt Premium in the Syndicated Loan Market — panel regression on 135,000+ loan tranches in R.</w:t>
      </w:r>
    </w:p>
    <w:p>
      <w:pPr>
        <w:spacing w:before="40" w:after="20"/>
      </w:pPr>
      <w:r>
        <w:rPr>
          <w:rFonts w:ascii="Calibri" w:hAnsi="Calibri"/>
          <w:b/>
          <w:i w:val="0"/>
          <w:color w:val="000000"/>
          <w:sz w:val="20"/>
        </w:rPr>
        <w:t>Master of Commerce (M.Com), 82%</w:t>
      </w:r>
      <w:r>
        <w:rPr>
          <w:rFonts w:ascii="Calibri" w:hAnsi="Calibri"/>
          <w:b w:val="0"/>
          <w:i w:val="0"/>
          <w:color w:val="000000"/>
          <w:sz w:val="20"/>
        </w:rPr>
        <w:t xml:space="preserve">  |  KCS College of Arts and Science, Chennai, India  |  </w:t>
      </w:r>
      <w:r>
        <w:rPr>
          <w:rFonts w:ascii="Calibri" w:hAnsi="Calibri"/>
          <w:b w:val="0"/>
          <w:i/>
          <w:color w:val="000000"/>
          <w:sz w:val="20"/>
        </w:rPr>
        <w:t>Jun 2019 – Apr 2021</w:t>
      </w:r>
    </w:p>
    <w:p>
      <w:pPr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>Bachelor of Commerce (B.Com), 72%</w:t>
      </w:r>
      <w:r>
        <w:rPr>
          <w:rFonts w:ascii="Calibri" w:hAnsi="Calibri"/>
          <w:b w:val="0"/>
          <w:i w:val="0"/>
          <w:color w:val="000000"/>
          <w:sz w:val="20"/>
        </w:rPr>
        <w:t xml:space="preserve">  |  KCS College of Arts and Science, Chennai, India  |  </w:t>
      </w:r>
      <w:r>
        <w:rPr>
          <w:rFonts w:ascii="Calibri" w:hAnsi="Calibri"/>
          <w:b w:val="0"/>
          <w:i/>
          <w:color w:val="000000"/>
          <w:sz w:val="20"/>
        </w:rPr>
        <w:t>Jun 2016 – Apr 2019</w:t>
      </w:r>
    </w:p>
    <w:p>
      <w:pPr>
        <w:spacing w:before="140" w:after="60"/>
      </w:pPr>
      <w:r>
        <w:rPr>
          <w:rFonts w:ascii="Calibri" w:hAnsi="Calibri"/>
          <w:b/>
          <w:i w:val="0"/>
          <w:color w:val="000000"/>
          <w:sz w:val="22"/>
        </w:rPr>
        <w:t>PROFESSIONAL EXPERIENCE</w:t>
      </w:r>
    </w:p>
    <w:p>
      <w:pPr>
        <w:spacing w:before="0" w:after="0"/>
        <w:pBdr>
          <w:bottom w:val="single" w:sz="6" w:space="1" w:color="000000"/>
        </w:pBdr>
      </w:pPr>
    </w:p>
    <w:p>
      <w:pPr>
        <w:spacing w:before="100" w:after="20"/>
      </w:pPr>
      <w:r>
        <w:rPr>
          <w:rFonts w:ascii="Calibri" w:hAnsi="Calibri"/>
          <w:b/>
          <w:i w:val="0"/>
          <w:color w:val="000000"/>
          <w:sz w:val="20"/>
        </w:rPr>
        <w:t>Pricing Associate (Financial Analyst)</w:t>
      </w:r>
      <w:r>
        <w:rPr>
          <w:rFonts w:ascii="Calibri" w:hAnsi="Calibri"/>
          <w:b w:val="0"/>
          <w:i w:val="0"/>
          <w:color w:val="000000"/>
          <w:sz w:val="20"/>
        </w:rPr>
        <w:t xml:space="preserve">  |  Accenture, Bengaluru, India  |  </w:t>
      </w:r>
      <w:r>
        <w:rPr>
          <w:rFonts w:ascii="Calibri" w:hAnsi="Calibri"/>
          <w:b w:val="0"/>
          <w:i/>
          <w:color w:val="000000"/>
          <w:sz w:val="20"/>
        </w:rPr>
        <w:t>Jun 2023 – Sep 2025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Engineered 600+ pricing and profitability models for multimillion-dollar outsourcing contracts, producing revenue and cost forecasts that directly underpinned executive deal-approval decisions.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Processed accruals, prepayments, and journal entries across period-end close cycles, maintaining accurate financial records across multiple concurrent client accounts.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Accelerated management reporting cycles by 30% by designing automated financial dashboards in Excel VBA, eliminating manual effort across the finance team.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Distilled variance and trend analysis on large financial datasets into actionable management reports, enabling non-financial stakeholders to make informed strategic decisions.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Optimised cost allocation accuracy by collaborating cross-functionally with sales, operations, and finance to align revenue recognition with contract terms.</w:t>
      </w:r>
    </w:p>
    <w:p>
      <w:pPr>
        <w:spacing w:before="100" w:after="20"/>
      </w:pPr>
      <w:r>
        <w:rPr>
          <w:rFonts w:ascii="Calibri" w:hAnsi="Calibri"/>
          <w:b/>
          <w:i w:val="0"/>
          <w:color w:val="000000"/>
          <w:sz w:val="20"/>
        </w:rPr>
        <w:t>Finance Assistant</w:t>
      </w:r>
      <w:r>
        <w:rPr>
          <w:rFonts w:ascii="Calibri" w:hAnsi="Calibri"/>
          <w:b w:val="0"/>
          <w:i w:val="0"/>
          <w:color w:val="000000"/>
          <w:sz w:val="20"/>
        </w:rPr>
        <w:t xml:space="preserve">  |  SMS LLP (Mtandt Group), Chennai, India  |  </w:t>
      </w:r>
      <w:r>
        <w:rPr>
          <w:rFonts w:ascii="Calibri" w:hAnsi="Calibri"/>
          <w:b w:val="0"/>
          <w:i/>
          <w:color w:val="000000"/>
          <w:sz w:val="20"/>
        </w:rPr>
        <w:t>Feb 2022 – May 2023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Prepared monthly management accounts — including profit and loss statements and balance sheets — consolidating multi-source financial data into concise executive reporting packages.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Reconciled balance sheet accounts and investigated discrepancies end-to-end, ensuring full compliance with reporting standards and clean audit trails.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Supported the annual budgeting and forecasting cycle by gathering and validating financial data across business units, improving forecast accuracy and planning reliability.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Submitted VAT returns and compliance reports in full and on time, ensuring regulatory adherence across all applicable reporting periods.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Reduced potential financial losses by 12% by conducting inventory and asset-performance analysis and recommending targeted provisions to management.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Tracked financial performance against annual targets through monthly variance analysis, surfacing deviations and recommending corrective actions to senior management.</w:t>
      </w:r>
    </w:p>
    <w:p>
      <w:pPr>
        <w:spacing w:before="140" w:after="60"/>
      </w:pPr>
      <w:r>
        <w:rPr>
          <w:rFonts w:ascii="Calibri" w:hAnsi="Calibri"/>
          <w:b/>
          <w:i w:val="0"/>
          <w:color w:val="000000"/>
          <w:sz w:val="22"/>
        </w:rPr>
        <w:t>INVESTMENT &amp; FINANCIAL ANALYSIS PROJECTS</w:t>
      </w:r>
    </w:p>
    <w:p>
      <w:pPr>
        <w:spacing w:before="0" w:after="0"/>
        <w:pBdr>
          <w:bottom w:val="single" w:sz="6" w:space="1" w:color="000000"/>
        </w:pBdr>
      </w:pPr>
    </w:p>
    <w:p>
      <w:pPr>
        <w:spacing w:before="80" w:after="20"/>
      </w:pPr>
      <w:r>
        <w:rPr>
          <w:rFonts w:ascii="Calibri" w:hAnsi="Calibri"/>
          <w:b/>
          <w:i w:val="0"/>
          <w:color w:val="000000"/>
          <w:sz w:val="20"/>
        </w:rPr>
        <w:t>Unilever PLC: Intrinsic Valuation via FCFF DCF Model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Valued Unilever's intrinsic equity by constructing a full FCFF discounted cash flow model, stress-testing outputs through scenario and sensitivity analysis across WACC, terminal growth, and operating-margin assumptions.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Formulated an equity-research-style Buy/Sell recommendation, identifying Unilever as a defensive, cash-generative business with limited near-term upside driven by macro and discount-rate risk.</w:t>
      </w:r>
    </w:p>
    <w:p>
      <w:pPr>
        <w:spacing w:before="80" w:after="20"/>
      </w:pPr>
      <w:r>
        <w:rPr>
          <w:rFonts w:ascii="Calibri" w:hAnsi="Calibri"/>
          <w:b/>
          <w:i w:val="0"/>
          <w:color w:val="000000"/>
          <w:sz w:val="20"/>
        </w:rPr>
        <w:t>FTSE 350 Portfolio: Equity Valuation &amp; Risk Analysis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Calculated beta and risk-adjusted expected returns for 10 FTSE 350 companies applying CAPM, flagging HSBC and Barclays as undervalued (Buy/Hold) and Glencore and Unilever as overvalued (Sell).</w:t>
      </w:r>
    </w:p>
    <w:p>
      <w:pPr>
        <w:pStyle w:val="ListBullet"/>
        <w:spacing w:before="20" w:after="40"/>
      </w:pPr>
      <w:r>
        <w:rPr>
          <w:rFonts w:ascii="Calibri" w:hAnsi="Calibri"/>
          <w:color w:val="000000"/>
          <w:sz w:val="20"/>
        </w:rPr>
        <w:t>Formulated buy/sell investment rationale grounded in systematic-risk and return-risk trade-off frameworks, delivering a fully reasoned portfolio recommendation.</w:t>
      </w:r>
    </w:p>
    <w:p>
      <w:pPr>
        <w:spacing w:before="140" w:after="60"/>
      </w:pPr>
      <w:r>
        <w:rPr>
          <w:rFonts w:ascii="Calibri" w:hAnsi="Calibri"/>
          <w:b/>
          <w:i w:val="0"/>
          <w:color w:val="000000"/>
          <w:sz w:val="22"/>
        </w:rPr>
        <w:t>SKILLS &amp; INTERESTS</w:t>
      </w:r>
    </w:p>
    <w:p>
      <w:pPr>
        <w:spacing w:before="0" w:after="0"/>
        <w:pBdr>
          <w:bottom w:val="single" w:sz="6" w:space="1" w:color="000000"/>
        </w:pBdr>
      </w:pPr>
    </w:p>
    <w:p>
      <w:pPr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 xml:space="preserve">Technical Tools: </w:t>
      </w:r>
      <w:r>
        <w:rPr>
          <w:rFonts w:ascii="Calibri" w:hAnsi="Calibri"/>
          <w:b w:val="0"/>
          <w:i w:val="0"/>
          <w:color w:val="000000"/>
          <w:sz w:val="20"/>
        </w:rPr>
        <w:t>Advanced Excel (VBA, Power Query, pivot tables), Bloomberg Terminal, Python (pandas, data visualisation), R (panel regression), SQL, PowerPoint</w:t>
      </w:r>
    </w:p>
    <w:p>
      <w:pPr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 xml:space="preserve">Financial Competencies: </w:t>
      </w:r>
      <w:r>
        <w:rPr>
          <w:rFonts w:ascii="Calibri" w:hAnsi="Calibri"/>
          <w:b w:val="0"/>
          <w:i w:val="0"/>
          <w:color w:val="000000"/>
          <w:sz w:val="20"/>
        </w:rPr>
        <w:t>Management Accounts Preparation, Balance Sheet Reconciliation, Budgeting &amp; Forecasting, Accruals &amp; Prepayments, VAT Compliance, Variance Analysis, Financial Reporting, Cost Allocation</w:t>
      </w:r>
    </w:p>
    <w:p>
      <w:pPr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 xml:space="preserve">Certifications: </w:t>
      </w:r>
      <w:r>
        <w:rPr>
          <w:rFonts w:ascii="Calibri" w:hAnsi="Calibri"/>
          <w:b w:val="0"/>
          <w:i w:val="0"/>
          <w:color w:val="000000"/>
          <w:sz w:val="20"/>
        </w:rPr>
        <w:t>CMA Intermediate, Institute of Cost Accountants of India (ICAI) — equivalent to CIMA/ACCA part-qualified</w:t>
      </w:r>
    </w:p>
    <w:p>
      <w:pPr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 xml:space="preserve">Interests: </w:t>
      </w:r>
      <w:r>
        <w:rPr>
          <w:rFonts w:ascii="Calibri" w:hAnsi="Calibri"/>
          <w:b w:val="0"/>
          <w:i w:val="0"/>
          <w:color w:val="000000"/>
          <w:sz w:val="20"/>
        </w:rPr>
        <w:t>Chess, Painting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eevajk2112@gmail.com" TargetMode="External"/><Relationship Id="rId10" Type="http://schemas.openxmlformats.org/officeDocument/2006/relationships/hyperlink" Target="https://linkedin.com/in/jeevakumar-j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