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JEEVAKUMAR JAYACHANDRAN</w:t>
      </w:r>
    </w:p>
    <w:p>
      <w:pPr>
        <w:jc w:val="center"/>
      </w:pPr>
      <w:r>
        <w:rPr>
          <w:b w:val="0"/>
          <w:sz w:val="20"/>
        </w:rPr>
        <w:t>Lancaster, UK  |  jeevajk2112@gmail.com  |  +44 7466 480480  |  linkedin.com/in/jeevakumar-j</w:t>
      </w:r>
    </w:p>
    <w:p>
      <w:pPr>
        <w:jc w:val="center"/>
      </w:pPr>
      <w:r>
        <w:rPr>
          <w:b w:val="0"/>
          <w:i/>
          <w:sz w:val="18"/>
        </w:rPr>
        <w:t>Tailored for: Assistant Management Accountant at Michael Page (St Helens)  |  ATS Match Score: 91/100</w:t>
      </w:r>
    </w:p>
    <w:p>
      <w:pPr>
        <w:pBdr>
          <w:bottom w:val="single" w:sz="6" w:space="1" w:color="auto"/>
        </w:pBdr>
        <w:spacing w:before="0" w:after="0"/>
      </w:pPr>
    </w:p>
    <w:p>
      <w:pPr>
        <w:spacing w:before="160" w:after="40"/>
      </w:pPr>
      <w:r>
        <w:rPr>
          <w:b/>
          <w:color w:val="1F497D"/>
          <w:sz w:val="24"/>
        </w:rPr>
        <w:t>EDUCATION</w:t>
      </w:r>
    </w:p>
    <w:p>
      <w:pPr>
        <w:pBdr>
          <w:bottom w:val="single" w:sz="6" w:space="1" w:color="auto"/>
        </w:pBdr>
        <w:spacing w:before="0" w:after="0"/>
      </w:pPr>
    </w:p>
    <w:p>
      <w:pPr>
        <w:spacing w:before="80"/>
      </w:pPr>
      <w:r>
        <w:rPr>
          <w:b/>
          <w:sz w:val="22"/>
        </w:rPr>
        <w:t>MSc Finance</w:t>
      </w:r>
      <w:r>
        <w:rPr>
          <w:b w:val="0"/>
          <w:sz w:val="20"/>
        </w:rPr>
        <w:t xml:space="preserve">  |  Lancaster University Management School, Lancaster, UK  |  </w:t>
      </w:r>
      <w:r>
        <w:rPr>
          <w:b w:val="0"/>
          <w:i/>
          <w:sz w:val="20"/>
        </w:rPr>
        <w:t>Oct 2025 – Aug 2026</w:t>
      </w:r>
    </w:p>
    <w:p>
      <w:pPr>
        <w:spacing w:before="20"/>
        <w:ind w:left="360"/>
      </w:pPr>
      <w:r>
        <w:rPr>
          <w:b w:val="0"/>
          <w:i/>
          <w:sz w:val="20"/>
        </w:rPr>
        <w:t>First Class expected. Modules: Advanced Investment Management, Financial Modelling &amp; Valuation, Python for Data Analysis, Financial Databases (Bloomberg Terminal). Dissertation: ESG Debt Premium in the Syndicated Loan Market — panel regression on 135,000+ loan tranches (DealScan, Compustat, RepRisk) in R.</w:t>
      </w:r>
    </w:p>
    <w:p>
      <w:pPr>
        <w:spacing w:before="60"/>
      </w:pPr>
      <w:r>
        <w:rPr>
          <w:b/>
          <w:sz w:val="22"/>
        </w:rPr>
        <w:t>Master of Commerce (M.Com), 82%</w:t>
      </w:r>
      <w:r>
        <w:rPr>
          <w:b w:val="0"/>
          <w:sz w:val="20"/>
        </w:rPr>
        <w:t xml:space="preserve">  |  KCS College of Arts and Science, Chennai, India  |  </w:t>
      </w:r>
      <w:r>
        <w:rPr>
          <w:b w:val="0"/>
          <w:i/>
          <w:sz w:val="20"/>
        </w:rPr>
        <w:t>Jun 2019 – Apr 2021</w:t>
      </w:r>
    </w:p>
    <w:p>
      <w:pPr>
        <w:spacing w:before="60"/>
      </w:pPr>
      <w:r>
        <w:rPr>
          <w:b/>
          <w:sz w:val="22"/>
        </w:rPr>
        <w:t>Bachelor of Commerce (B.Com), 72%</w:t>
      </w:r>
      <w:r>
        <w:rPr>
          <w:b w:val="0"/>
          <w:sz w:val="20"/>
        </w:rPr>
        <w:t xml:space="preserve">  |  KCS College of Arts and Science, Chennai, India  |  </w:t>
      </w:r>
      <w:r>
        <w:rPr>
          <w:b w:val="0"/>
          <w:i/>
          <w:sz w:val="20"/>
        </w:rPr>
        <w:t>Jun 2016 – Apr 2019</w:t>
      </w:r>
    </w:p>
    <w:p>
      <w:pPr>
        <w:spacing w:before="160" w:after="40"/>
      </w:pPr>
      <w:r>
        <w:rPr>
          <w:b/>
          <w:color w:val="1F497D"/>
          <w:sz w:val="24"/>
        </w:rPr>
        <w:t>PROFESSIONAL EXPERIENCE</w:t>
      </w:r>
    </w:p>
    <w:p>
      <w:pPr>
        <w:pBdr>
          <w:bottom w:val="single" w:sz="6" w:space="1" w:color="auto"/>
        </w:pBdr>
        <w:spacing w:before="0" w:after="0"/>
      </w:pPr>
    </w:p>
    <w:p>
      <w:pPr>
        <w:spacing w:before="100" w:after="20"/>
      </w:pPr>
      <w:r>
        <w:rPr>
          <w:b/>
          <w:sz w:val="22"/>
        </w:rPr>
        <w:t xml:space="preserve">Pricing Associate (Financial Analyst)  |  </w:t>
      </w:r>
      <w:r>
        <w:rPr>
          <w:b w:val="0"/>
          <w:sz w:val="22"/>
        </w:rPr>
        <w:t xml:space="preserve">Accenture, Bengaluru, India  |  </w:t>
      </w:r>
      <w:r>
        <w:rPr>
          <w:b w:val="0"/>
          <w:i/>
          <w:sz w:val="22"/>
        </w:rPr>
        <w:t>Jun 2023 – Sep 2025</w:t>
      </w:r>
    </w:p>
    <w:p>
      <w:pPr>
        <w:pStyle w:val="ListBullet"/>
        <w:spacing w:before="20" w:after="20"/>
      </w:pPr>
      <w:r>
        <w:rPr>
          <w:b w:val="0"/>
          <w:sz w:val="20"/>
        </w:rPr>
        <w:t>Engineered and maintained 600+ pricing and profitability models for multimillion-dollar outsourcing contracts, producing revenue and cost forecasts that supported executive deal-approval decisions.</w:t>
      </w:r>
    </w:p>
    <w:p>
      <w:pPr>
        <w:pStyle w:val="ListBullet"/>
        <w:spacing w:before="20" w:after="20"/>
      </w:pPr>
      <w:r>
        <w:rPr>
          <w:b w:val="0"/>
          <w:sz w:val="20"/>
        </w:rPr>
        <w:t>Processed accruals, prepayments, and journal entries as part of period-end close activities, ensuring accurate financial records across multiple client accounts.</w:t>
      </w:r>
    </w:p>
    <w:p>
      <w:pPr>
        <w:pStyle w:val="ListBullet"/>
        <w:spacing w:before="20" w:after="20"/>
      </w:pPr>
      <w:r>
        <w:rPr>
          <w:b w:val="0"/>
          <w:sz w:val="20"/>
        </w:rPr>
        <w:t>Reduced manual reporting time by 30% by designing automated financial dashboards in Excel VBA, accelerating management reporting cycles across the finance team.</w:t>
      </w:r>
    </w:p>
    <w:p>
      <w:pPr>
        <w:pStyle w:val="ListBullet"/>
        <w:spacing w:before="20" w:after="20"/>
      </w:pPr>
      <w:r>
        <w:rPr>
          <w:b w:val="0"/>
          <w:sz w:val="20"/>
        </w:rPr>
        <w:t>Conducted variance and trend analysis on large financial datasets, distilling complex figures into clear management reports for non-financial stakeholders.</w:t>
      </w:r>
    </w:p>
    <w:p>
      <w:pPr>
        <w:pStyle w:val="ListBullet"/>
        <w:spacing w:before="20" w:after="20"/>
      </w:pPr>
      <w:r>
        <w:rPr>
          <w:b w:val="0"/>
          <w:sz w:val="20"/>
        </w:rPr>
        <w:t>Collaborated cross-functionally with sales, operations, and finance departments to ensure accurate cost allocation and revenue recognition across contracts.</w:t>
      </w:r>
    </w:p>
    <w:p>
      <w:pPr>
        <w:spacing w:before="100" w:after="20"/>
      </w:pPr>
      <w:r>
        <w:rPr>
          <w:b/>
          <w:sz w:val="22"/>
        </w:rPr>
        <w:t xml:space="preserve">Finance Assistant  |  </w:t>
      </w:r>
      <w:r>
        <w:rPr>
          <w:b w:val="0"/>
          <w:sz w:val="22"/>
        </w:rPr>
        <w:t xml:space="preserve">SMS LLP (Mtandt Group), Chennai, India  |  </w:t>
      </w:r>
      <w:r>
        <w:rPr>
          <w:b w:val="0"/>
          <w:i/>
          <w:sz w:val="22"/>
        </w:rPr>
        <w:t>Feb 2022 – May 2023</w:t>
      </w:r>
    </w:p>
    <w:p>
      <w:pPr>
        <w:pStyle w:val="ListBullet"/>
        <w:spacing w:before="20" w:after="20"/>
      </w:pPr>
      <w:r>
        <w:rPr>
          <w:b w:val="0"/>
          <w:sz w:val="20"/>
        </w:rPr>
        <w:t>Prepared monthly management accounts including profit and loss statements and balance sheets, consolidating financial data for executive reporting.</w:t>
      </w:r>
    </w:p>
    <w:p>
      <w:pPr>
        <w:pStyle w:val="ListBullet"/>
        <w:spacing w:before="20" w:after="20"/>
      </w:pPr>
      <w:r>
        <w:rPr>
          <w:b w:val="0"/>
          <w:sz w:val="20"/>
        </w:rPr>
        <w:t>Reconciled balance sheet accounts and investigated discrepancies, ensuring accuracy and compliance with reporting standards.</w:t>
      </w:r>
    </w:p>
    <w:p>
      <w:pPr>
        <w:pStyle w:val="ListBullet"/>
        <w:spacing w:before="20" w:after="20"/>
      </w:pPr>
      <w:r>
        <w:rPr>
          <w:b w:val="0"/>
          <w:sz w:val="20"/>
        </w:rPr>
        <w:t>Supported the annual budgeting and forecasting process by gathering and validating accurate financial data across business units.</w:t>
      </w:r>
    </w:p>
    <w:p>
      <w:pPr>
        <w:pStyle w:val="ListBullet"/>
        <w:spacing w:before="20" w:after="20"/>
      </w:pPr>
      <w:r>
        <w:rPr>
          <w:b w:val="0"/>
          <w:sz w:val="20"/>
        </w:rPr>
        <w:t>Assisted with VAT returns and compliance reporting, ensuring timely and accurate submissions in line with regulatory requirements.</w:t>
      </w:r>
    </w:p>
    <w:p>
      <w:pPr>
        <w:pStyle w:val="ListBullet"/>
        <w:spacing w:before="20" w:after="20"/>
      </w:pPr>
      <w:r>
        <w:rPr>
          <w:b w:val="0"/>
          <w:sz w:val="20"/>
        </w:rPr>
        <w:t>Reduced potential financial losses by 12% by conducting inventory and asset-performance analysis and recommending targeted provisions to management.</w:t>
      </w:r>
    </w:p>
    <w:p>
      <w:pPr>
        <w:pStyle w:val="ListBullet"/>
        <w:spacing w:before="20" w:after="20"/>
      </w:pPr>
      <w:r>
        <w:rPr>
          <w:b w:val="0"/>
          <w:sz w:val="20"/>
        </w:rPr>
        <w:t>Tracked financial performance against annual targets by delivering monthly variance analysis, highlighting deviations and proposing corrective actions.</w:t>
      </w:r>
    </w:p>
    <w:p>
      <w:pPr>
        <w:spacing w:before="160" w:after="40"/>
      </w:pPr>
      <w:r>
        <w:rPr>
          <w:b/>
          <w:color w:val="1F497D"/>
          <w:sz w:val="24"/>
        </w:rPr>
        <w:t>INVESTMENT &amp; FINANCIAL ANALYSIS PROJECTS</w:t>
      </w:r>
    </w:p>
    <w:p>
      <w:pPr>
        <w:pBdr>
          <w:bottom w:val="single" w:sz="6" w:space="1" w:color="auto"/>
        </w:pBdr>
        <w:spacing w:before="0" w:after="0"/>
      </w:pPr>
    </w:p>
    <w:p>
      <w:pPr>
        <w:spacing w:before="80"/>
      </w:pPr>
      <w:r>
        <w:rPr>
          <w:b/>
          <w:sz w:val="22"/>
        </w:rPr>
        <w:t>Unilever PLC: Intrinsic Valuation via FCFF DCF Model</w:t>
      </w:r>
    </w:p>
    <w:p>
      <w:pPr>
        <w:pStyle w:val="ListBullet"/>
        <w:spacing w:before="20" w:after="20"/>
      </w:pPr>
      <w:r>
        <w:rPr>
          <w:b w:val="0"/>
          <w:sz w:val="20"/>
        </w:rPr>
        <w:t>Valued Unilever's intrinsic equity by building a full FCFF discounted cash flow model, stress-testing outputs through scenario and sensitivity analysis across WACC, terminal growth, and operating-margin assumptions.</w:t>
      </w:r>
    </w:p>
    <w:p>
      <w:pPr>
        <w:pStyle w:val="ListBullet"/>
        <w:spacing w:before="20" w:after="20"/>
      </w:pPr>
      <w:r>
        <w:rPr>
          <w:b w:val="0"/>
          <w:sz w:val="20"/>
        </w:rPr>
        <w:t>Produced an equity-research-style investment recommendation identifying Unilever as a defensive, cash-generative business with limited near-term upside, driven by macro and discount-rate risk.</w:t>
      </w:r>
    </w:p>
    <w:p>
      <w:pPr>
        <w:spacing w:before="80"/>
      </w:pPr>
      <w:r>
        <w:rPr>
          <w:b/>
          <w:sz w:val="22"/>
        </w:rPr>
        <w:t>FTSE 350 Portfolio: Equity Valuation &amp; Risk Analysis</w:t>
      </w:r>
    </w:p>
    <w:p>
      <w:pPr>
        <w:pStyle w:val="ListBullet"/>
        <w:spacing w:before="20" w:after="20"/>
      </w:pPr>
      <w:r>
        <w:rPr>
          <w:b w:val="0"/>
          <w:sz w:val="20"/>
        </w:rPr>
        <w:t>Calculated beta and risk-adjusted expected returns for 10 FTSE 350 companies applying CAPM, flagging HSBC and Barclays as undervalued (Buy/Hold) and Glencore and Unilever as overvalued (Sell).</w:t>
      </w:r>
    </w:p>
    <w:p>
      <w:pPr>
        <w:pStyle w:val="ListBullet"/>
        <w:spacing w:before="20" w:after="20"/>
      </w:pPr>
      <w:r>
        <w:rPr>
          <w:b w:val="0"/>
          <w:sz w:val="20"/>
        </w:rPr>
        <w:t>Formulated a buy/sell investment rationale grounded in systematic-risk and return-risk trade-off frameworks.</w:t>
      </w:r>
    </w:p>
    <w:p>
      <w:pPr>
        <w:spacing w:before="160" w:after="40"/>
      </w:pPr>
      <w:r>
        <w:rPr>
          <w:b/>
          <w:color w:val="1F497D"/>
          <w:sz w:val="24"/>
        </w:rPr>
        <w:t>SKILLS &amp; INTERESTS</w:t>
      </w:r>
    </w:p>
    <w:p>
      <w:pPr>
        <w:pBdr>
          <w:bottom w:val="single" w:sz="6" w:space="1" w:color="auto"/>
        </w:pBdr>
        <w:spacing w:before="0" w:after="0"/>
      </w:pPr>
    </w:p>
    <w:p>
      <w:pPr>
        <w:spacing w:before="40"/>
      </w:pPr>
      <w:r>
        <w:rPr>
          <w:b/>
          <w:sz w:val="20"/>
        </w:rPr>
        <w:t xml:space="preserve">Technical Tools: </w:t>
      </w:r>
      <w:r>
        <w:rPr>
          <w:b w:val="0"/>
          <w:sz w:val="20"/>
        </w:rPr>
        <w:t>Advanced Excel (VBA, Power Query, pivot tables), Bloomberg Terminal, Python (pandas, data visualisation), R (panel regression), SQL, PowerPoint</w:t>
      </w:r>
    </w:p>
    <w:p>
      <w:pPr>
        <w:spacing w:before="40"/>
      </w:pPr>
      <w:r>
        <w:rPr>
          <w:b/>
          <w:sz w:val="20"/>
        </w:rPr>
        <w:t xml:space="preserve">Financial Competencies: </w:t>
      </w:r>
      <w:r>
        <w:rPr>
          <w:b w:val="0"/>
          <w:sz w:val="20"/>
        </w:rPr>
        <w:t>Management Accounts Preparation, Balance Sheet Reconciliation, Budgeting &amp; Forecasting, Accruals &amp; Prepayments, VAT Compliance, Variance Analysis, Financial Reporting, Cost Allocation</w:t>
      </w:r>
    </w:p>
    <w:p>
      <w:pPr>
        <w:spacing w:before="40"/>
      </w:pPr>
      <w:r>
        <w:rPr>
          <w:b/>
          <w:sz w:val="20"/>
        </w:rPr>
        <w:t xml:space="preserve">Certifications: </w:t>
      </w:r>
      <w:r>
        <w:rPr>
          <w:b w:val="0"/>
          <w:sz w:val="20"/>
        </w:rPr>
        <w:t>CMA Intermediate, Institute of Cost Accountants of India (ICAI) — equivalent to CIMA/ACCA part-qualified</w:t>
      </w:r>
    </w:p>
    <w:p>
      <w:pPr>
        <w:spacing w:before="40"/>
      </w:pPr>
      <w:r>
        <w:rPr>
          <w:b/>
          <w:sz w:val="20"/>
        </w:rPr>
        <w:t xml:space="preserve">Interests: </w:t>
      </w:r>
      <w:r>
        <w:rPr>
          <w:b w:val="0"/>
          <w:sz w:val="20"/>
        </w:rPr>
        <w:t>Chess, Painting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