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i w:val="0"/>
          <w:color w:val="000000"/>
          <w:sz w:val="24"/>
        </w:rPr>
        <w:t>Jeevakumar Jayachandran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Lancaster, UK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jeevajk2112@gmail.com  |  +44 7466 480480  |  linkedin.com/in/jeevakumar-j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17 June 2026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Hiring Manager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Deloitte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London, UK</w:t>
      </w:r>
    </w:p>
    <w:p>
      <w:pPr>
        <w:spacing w:before="0" w:after="200"/>
      </w:pPr>
      <w:r>
        <w:rPr>
          <w:rFonts w:ascii="Calibri" w:hAnsi="Calibri"/>
          <w:b/>
          <w:color w:val="000000"/>
          <w:sz w:val="21"/>
        </w:rPr>
        <w:t>Re: Application for Internal Audit &amp; Assurance – Full Time Graduate Programme (Audit &amp; Assurance, London, September 2026)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Dear Hiring Manager,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Deloitte's Internal Audit &amp; Change team occupies a uniquely privileged position — working with senior leaders across financial services and corporate sectors to understand the real inner workings of businesses and make their control environments stronger. That combination of cross-sector breadth, genuine commercial exposure, and the ACA qualification pathway is precisely why this programme stands out to me.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At Accenture, I spent over two years assessing the design and operating effectiveness of pricing controls across 600+ multimillion-dollar outsourcing contracts. My work involved identifying margin risks through sensitivity analysis, validating deal assumptions against internal risk parameters, and communicating findings clearly to senior finance and deal-approval stakeholders — a process that mirrors the core assurance workflow of evaluating controls, identifying weaknesses, and presenting structured recommendations. I also built automated Excel VBA dashboards that reduced manual reporting time by 30%, improving the reliability of financial control reporting across the team. Earlier, at SMS LLP, I conducted inventory and asset-performance analysis that reduced financial losses by 12% by surfacing control weaknesses and recommending targeted provisions to management.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My MSc Finance at Lancaster University Management School — where I am on track for a First Class — has deepened my quantitative skills through financial modelling, Bloomberg Terminal, Python, and an econometric dissertation analysing ESG risk premia across 135,000+ loan tranches. My CMA Intermediate qualification provides a strong accounting foundation ahead of the ACA pathway available within the programme.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I would welcome the opportunity to bring my risk assessment and financial analysis experience to Deloitte's Internal Audit &amp; Change team. I am available for interview at your convenience and can be reached at jeevajk2112@gmail.com or +44 7466 480480.</w:t>
      </w:r>
    </w:p>
    <w:p>
      <w:pPr>
        <w:spacing w:before="0" w:after="400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Yours sincerely,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