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000000"/>
          <w:sz w:val="30"/>
        </w:rPr>
        <w:t>JEEVAKUMAR JAYACHANDRAN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00000"/>
          <w:sz w:val="20"/>
        </w:rPr>
        <w:t>Lancaster, UK  |  jeevajk2112@gmail.com  |  +44 7466 480480  |  linkedin.com/in/jeevakumar-j</w:t>
      </w:r>
    </w:p>
    <w:p>
      <w:pPr>
        <w:spacing w:before="40" w:after="40"/>
        <w:pBdr>
          <w:bottom w:val="single" w:sz="6" w:space="1" w:color="000000"/>
        </w:pBdr>
      </w:pPr>
    </w:p>
    <w:p>
      <w:pPr>
        <w:spacing w:before="120" w:after="60"/>
      </w:pPr>
      <w:r>
        <w:rPr>
          <w:rFonts w:ascii="Calibri" w:hAnsi="Calibri"/>
          <w:b/>
          <w:color w:val="000000"/>
          <w:sz w:val="22"/>
        </w:rPr>
        <w:t>EDUCATION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0"/>
        </w:rPr>
        <w:t>MSc Finance</w:t>
      </w:r>
      <w:r>
        <w:rPr>
          <w:rFonts w:ascii="Calibri" w:hAnsi="Calibri"/>
          <w:b w:val="0"/>
          <w:color w:val="000000"/>
          <w:sz w:val="20"/>
        </w:rPr>
        <w:t xml:space="preserve">  |  Lancaster University Management School, Lancaster, UK  |  </w:t>
      </w:r>
      <w:r>
        <w:rPr>
          <w:rFonts w:ascii="Calibri" w:hAnsi="Calibri"/>
          <w:b w:val="0"/>
          <w:i/>
          <w:color w:val="000000"/>
          <w:sz w:val="20"/>
        </w:rPr>
        <w:t>Oct 2025 – Aug 2026</w:t>
      </w:r>
    </w:p>
    <w:p>
      <w:pPr>
        <w:spacing w:before="0" w:after="40"/>
        <w:ind w:left="227"/>
      </w:pPr>
      <w:r>
        <w:rPr>
          <w:rFonts w:ascii="Calibri" w:hAnsi="Calibri"/>
          <w:b w:val="0"/>
          <w:color w:val="000000"/>
          <w:sz w:val="20"/>
        </w:rPr>
        <w:t>First Class expected. Modules: Advanced Investment Management, Financial Modelling &amp; Valuation, Python for Data Analysis, Financial Databases (Bloomberg Terminal). Dissertation: ESG Debt Premium in the Syndicated Loan Market — panel regression on 135,000+ loan tranches (DealScan, Compustat, RepRisk) in R.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0"/>
        </w:rPr>
        <w:t>Master of Commerce (M.Com), 82%</w:t>
      </w:r>
      <w:r>
        <w:rPr>
          <w:rFonts w:ascii="Calibri" w:hAnsi="Calibri"/>
          <w:b w:val="0"/>
          <w:color w:val="000000"/>
          <w:sz w:val="20"/>
        </w:rPr>
        <w:t xml:space="preserve">  |  KCS College of Arts and Science, Chennai, India  |  </w:t>
      </w:r>
      <w:r>
        <w:rPr>
          <w:rFonts w:ascii="Calibri" w:hAnsi="Calibri"/>
          <w:b w:val="0"/>
          <w:i/>
          <w:color w:val="000000"/>
          <w:sz w:val="20"/>
        </w:rPr>
        <w:t>Jun 2019 – Apr 2021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0"/>
        </w:rPr>
        <w:t>Bachelor of Commerce (B.Com), 72%</w:t>
      </w:r>
      <w:r>
        <w:rPr>
          <w:rFonts w:ascii="Calibri" w:hAnsi="Calibri"/>
          <w:b w:val="0"/>
          <w:color w:val="000000"/>
          <w:sz w:val="20"/>
        </w:rPr>
        <w:t xml:space="preserve">  |  KCS College of Arts and Science, Chennai, India  |  </w:t>
      </w:r>
      <w:r>
        <w:rPr>
          <w:rFonts w:ascii="Calibri" w:hAnsi="Calibri"/>
          <w:b w:val="0"/>
          <w:i/>
          <w:color w:val="000000"/>
          <w:sz w:val="20"/>
        </w:rPr>
        <w:t>Jun 2016 – Apr 2019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2"/>
        </w:rPr>
        <w:t>PROFESSIONAL EXPERIENCE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0"/>
        </w:rPr>
        <w:t>Pricing Associate (Financial Analyst)</w:t>
      </w:r>
      <w:r>
        <w:rPr>
          <w:rFonts w:ascii="Calibri" w:hAnsi="Calibri"/>
          <w:b w:val="0"/>
          <w:color w:val="000000"/>
          <w:sz w:val="20"/>
        </w:rPr>
        <w:t xml:space="preserve">  |  Accenture, Bengaluru, India  |  </w:t>
      </w:r>
      <w:r>
        <w:rPr>
          <w:rFonts w:ascii="Calibri" w:hAnsi="Calibri"/>
          <w:b w:val="0"/>
          <w:i/>
          <w:color w:val="000000"/>
          <w:sz w:val="20"/>
        </w:rPr>
        <w:t>Jun 2023 – Sep 2025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Assessed the design and operating effectiveness of pricing controls for 600+ multimillion-dollar outsourcing contracts, ensuring commercial terms were governed by clearly defined risk parameters and approval thresholds.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Identified and quantified margin risks by running multi-variable sensitivity analysis across deal scenarios, isolating key cost drivers and providing structured recommendations to senior finance and deal-approval stakeholders.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Reduced manual reporting time by 30% by designing automated performance dashboards in Excel VBA, improving the accuracy and timeliness of financial control reporting across the pricing team.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Conducted variance and trend analysis on large pricing datasets, distilling findings into actionable recommendations for non-financial stakeholders and senior leadership.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Collaborated cross-functionally with sales, legal, and delivery teams to validate deal assumptions and ensure commercial commitments were aligned with internal risk and profitability controls.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0"/>
        </w:rPr>
        <w:t>Finance Assistant</w:t>
      </w:r>
      <w:r>
        <w:rPr>
          <w:rFonts w:ascii="Calibri" w:hAnsi="Calibri"/>
          <w:b w:val="0"/>
          <w:color w:val="000000"/>
          <w:sz w:val="20"/>
        </w:rPr>
        <w:t xml:space="preserve">  |  SMS LLP (Mtandt Group), Chennai, India  |  </w:t>
      </w:r>
      <w:r>
        <w:rPr>
          <w:rFonts w:ascii="Calibri" w:hAnsi="Calibri"/>
          <w:b w:val="0"/>
          <w:i/>
          <w:color w:val="000000"/>
          <w:sz w:val="20"/>
        </w:rPr>
        <w:t>Feb 2022 – May 2023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Produced monthly management accounts and financial reports that supported executive decision-making, consolidating financial statements into concise reporting packages for senior leaders.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Reduced potential financial losses by 12% by conducting inventory and asset-performance analysis, identifying control weaknesses and recommending targeted provisions to management.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Supported the annual budgeting cycle and delivered monthly variance analysis, tracking financial performance against targets and flagging material deviations for management review.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2"/>
        </w:rPr>
        <w:t>INVESTMENT &amp; FINANCIAL ANALYSIS PROJECTS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0"/>
        </w:rPr>
        <w:t>Unilever PLC: Intrinsic Valuation via FCFF DCF Model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Evaluated the robustness of Unilever's financial controls and business model by constructing a full FCFF discounted cash flow model, stress-testing outputs through scenario and sensitivity analysis across WACC, terminal growth, and operating-margin assumptions.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Produced an equity-research-style recommendation assessing Unilever's risk profile and identifying macro and discount-rate risks as key drivers of valuation uncertainty.</w:t>
      </w:r>
    </w:p>
    <w:p>
      <w:pPr>
        <w:spacing w:before="80" w:after="20"/>
      </w:pPr>
      <w:r>
        <w:rPr>
          <w:rFonts w:ascii="Calibri" w:hAnsi="Calibri"/>
          <w:b/>
          <w:color w:val="000000"/>
          <w:sz w:val="20"/>
        </w:rPr>
        <w:t>FTSE 350 Portfolio: Equity Valuation &amp; Risk Analysis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Assessed systematic risk and return-risk trade-offs for 10 FTSE 350 companies applying CAPM, producing a structured investment rationale with buy/sell/hold recommendations grounded in quantitative evidence.</w:t>
      </w:r>
    </w:p>
    <w:p>
      <w:pPr>
        <w:pStyle w:val="ListBullet"/>
        <w:spacing w:before="0" w:after="40"/>
        <w:ind w:left="340" w:hanging="170"/>
      </w:pPr>
      <w:r>
        <w:rPr>
          <w:rFonts w:ascii="Calibri" w:hAnsi="Calibri"/>
          <w:b w:val="0"/>
          <w:color w:val="000000"/>
          <w:sz w:val="20"/>
        </w:rPr>
        <w:t>Formulated analytical findings into clear, evidence-based recommendations — mirroring the assurance reporting process of translating analysis into actionable client insight.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2"/>
        </w:rPr>
        <w:t>SKILLS &amp; INTERESTS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Technical Tools: </w:t>
      </w:r>
      <w:r>
        <w:rPr>
          <w:rFonts w:ascii="Calibri" w:hAnsi="Calibri"/>
          <w:b w:val="0"/>
          <w:color w:val="000000"/>
          <w:sz w:val="20"/>
        </w:rPr>
        <w:t>Advanced Excel (VBA, Power Query), Bloomberg Terminal, Python (pandas, data visualisation), R (panel regression), SQL, PowerPoint, Power BI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Financial Competencies: </w:t>
      </w:r>
      <w:r>
        <w:rPr>
          <w:rFonts w:ascii="Calibri" w:hAnsi="Calibri"/>
          <w:b w:val="0"/>
          <w:color w:val="000000"/>
          <w:sz w:val="20"/>
        </w:rPr>
        <w:t>Internal Control Assessment, Risk Identification &amp; Quantification, Variance Analysis, Financial Reporting, Management Accounting, Process Auditing, Scenario &amp; Sensitivity Analysis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Certifications: </w:t>
      </w:r>
      <w:r>
        <w:rPr>
          <w:rFonts w:ascii="Calibri" w:hAnsi="Calibri"/>
          <w:b w:val="0"/>
          <w:color w:val="000000"/>
          <w:sz w:val="20"/>
        </w:rPr>
        <w:t>CMA Intermediate, Institute of Cost Accountants of India (ICAI)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Interests: </w:t>
      </w:r>
      <w:r>
        <w:rPr>
          <w:rFonts w:ascii="Calibri" w:hAnsi="Calibri"/>
          <w:b w:val="0"/>
          <w:color w:val="000000"/>
          <w:sz w:val="20"/>
        </w:rPr>
        <w:t>Chess, Painting</w:t>
      </w:r>
    </w:p>
    <w:p>
      <w:pPr>
        <w:spacing w:before="40" w:after="40"/>
        <w:pBdr>
          <w:bottom w:val="single" w:sz="6" w:space="1" w:color="000000"/>
        </w:pBdr>
      </w:pP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