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Aberdeen Investments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Edinburgh / 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Graduate Investment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Aberdeen's long-standing commitment to fundamental, research-driven investing — backed by deep company analysis rather than momentum signals — mirrors the approach I took in my MSc Finance projects, from building a bottom-up DCF model for Unilever to running cross-sectional CAPM analysis across the FTSE 350.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in my studies and have developed strong Python and R skills through quantitative financial research, including a panel regression on 135,000+ syndicated loan tranches for my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my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Aberdeen Investments's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