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AstraZeneca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Cambridge,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Finance Executive – FP&amp;A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AstraZeneca's scale of financial operations — managing billions in R&amp;D investment across global portfolios — demands exactly the kind of rigorous variance analysis and forecasting discipline I developed at Accenture and SMS LLP, where financial accuracy underpinned critical commercial decisions.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AstraZeneca's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