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Barclays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Financial Analyst – Graduate Programme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In my FTSE 350 equity analysis project, I flagged Barclays as undervalued on a risk-adjusted basis, with systematic beta analysis supporting a Buy/Hold recommendation — a conviction built on the same analytical rigour I would bring to Barclays' own finance function.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in my studies and have developed strong Python and R skills through quantitative financial research, including a panel regression on 135,000+ syndicated loan tranches for my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my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Barclays's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