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Deloitte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before="0" w:after="160"/>
      </w:pPr>
      <w:r>
        <w:rPr>
          <w:rFonts w:ascii="Calibri" w:hAnsi="Calibri"/>
          <w:b/>
          <w:color w:val="000000"/>
          <w:sz w:val="21"/>
        </w:rPr>
        <w:t>Re: Application for Finance Analyst – Graduate Scheme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Deloitte's Finance Advisory practice sits at the intersection of financial expertise and transformative technology — where the ability to model complex scenarios, automate reporting, and translate data into strategic insight is paramount, exactly the skill set I refined at Accenture over two years of high-stakes commercial pricing.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developed deep financial analysis expertise — building pricing and profitability models, conducting variance analysis on large datasets, and producing management reporting that drove executive decision-making. At SMS LLP, I prepared monthly management accounts, reduced financial losses by 12% through inventory analysis, and supported the annual budgeting cycle. Together these roles gave me the dual perspective of commercial finance and operational management accounting.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Deloitte's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