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G4S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FP&amp;A Analyst – Graduate Position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G4S's global footprint across 85 countries and the complexity of its international financial operations presents exactly the kind of multi-faceted FP&amp;A challenge I have been preparing for throughout my MSc Finance at Lancaster.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G4S's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