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Müller UK &amp; Ireland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Market Drayton,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Graduate Finance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Müller's position as one of the UK's most recognised consumer goods brands, combined with its commitment to developing finance talent through a structured rotational graduate scheme, offers precisely the breadth of commercial finance exposure I am seeking.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Müller UK &amp; Ireland's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