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000000"/>
          <w:sz w:val="22"/>
        </w:rPr>
        <w:t>Jeevakumar Jayachandran</w:t>
      </w:r>
    </w:p>
    <w:p>
      <w:pPr>
        <w:spacing w:before="0" w:after="20"/>
      </w:pPr>
      <w:r>
        <w:rPr>
          <w:rFonts w:ascii="Calibri" w:hAnsi="Calibri"/>
          <w:b w:val="0"/>
          <w:color w:val="000000"/>
          <w:sz w:val="21"/>
        </w:rPr>
        <w:t>Lancaster, UK</w:t>
      </w:r>
    </w:p>
    <w:p>
      <w:pPr>
        <w:spacing w:before="0" w:after="20"/>
      </w:pPr>
      <w:r>
        <w:rPr>
          <w:rFonts w:ascii="Calibri" w:hAnsi="Calibri"/>
          <w:b w:val="0"/>
          <w:color w:val="000000"/>
          <w:sz w:val="21"/>
        </w:rPr>
        <w:t>+44 7466 480480</w:t>
      </w:r>
    </w:p>
    <w:p>
      <w:pPr>
        <w:spacing w:before="0" w:after="20"/>
      </w:pPr>
      <w:r>
        <w:rPr>
          <w:rFonts w:ascii="Calibri" w:hAnsi="Calibri"/>
          <w:b w:val="0"/>
          <w:color w:val="000000"/>
          <w:sz w:val="21"/>
        </w:rPr>
        <w:t>jeevajk2112@gmail.com</w:t>
      </w:r>
    </w:p>
    <w:p>
      <w:pPr>
        <w:spacing w:before="0" w:after="160"/>
      </w:pPr>
      <w:r>
        <w:rPr>
          <w:rFonts w:ascii="Calibri" w:hAnsi="Calibri"/>
          <w:b w:val="0"/>
          <w:color w:val="000000"/>
          <w:sz w:val="21"/>
        </w:rPr>
        <w:t>linkedin.com/in/jeevakumar-j</w:t>
      </w:r>
    </w:p>
    <w:p>
      <w:pPr>
        <w:spacing w:before="0" w:after="160"/>
      </w:pPr>
      <w:r>
        <w:rPr>
          <w:rFonts w:ascii="Calibri" w:hAnsi="Calibri"/>
          <w:b w:val="0"/>
          <w:color w:val="000000"/>
          <w:sz w:val="21"/>
        </w:rPr>
        <w:t>11 June 2026</w:t>
      </w:r>
    </w:p>
    <w:p>
      <w:pPr>
        <w:spacing w:before="0" w:after="20"/>
      </w:pPr>
      <w:r>
        <w:rPr>
          <w:rFonts w:ascii="Calibri" w:hAnsi="Calibri"/>
          <w:b w:val="0"/>
          <w:color w:val="000000"/>
          <w:sz w:val="21"/>
        </w:rPr>
        <w:t>Hiring Manager</w:t>
      </w:r>
    </w:p>
    <w:p>
      <w:pPr>
        <w:spacing w:before="0" w:after="20"/>
      </w:pPr>
      <w:r>
        <w:rPr>
          <w:rFonts w:ascii="Calibri" w:hAnsi="Calibri"/>
          <w:b w:val="0"/>
          <w:color w:val="000000"/>
          <w:sz w:val="21"/>
        </w:rPr>
        <w:t>PwC</w:t>
      </w:r>
    </w:p>
    <w:p>
      <w:pPr>
        <w:spacing w:before="0" w:after="20"/>
      </w:pPr>
      <w:r>
        <w:rPr>
          <w:rFonts w:ascii="Calibri" w:hAnsi="Calibri"/>
          <w:b w:val="0"/>
          <w:color w:val="000000"/>
          <w:sz w:val="21"/>
        </w:rPr>
        <w:t>London, UK</w:t>
      </w:r>
    </w:p>
    <w:p>
      <w:pPr>
        <w:spacing w:after="80"/>
      </w:pPr>
    </w:p>
    <w:p>
      <w:pPr>
        <w:spacing w:before="0" w:after="160"/>
      </w:pPr>
      <w:r>
        <w:rPr>
          <w:rFonts w:ascii="Calibri" w:hAnsi="Calibri"/>
          <w:b/>
          <w:color w:val="000000"/>
          <w:sz w:val="21"/>
        </w:rPr>
        <w:t>Re: Application for Graduate Accountant – Finance Trainee</w:t>
      </w:r>
    </w:p>
    <w:p>
      <w:pPr>
        <w:spacing w:after="160"/>
      </w:pPr>
      <w:r>
        <w:rPr>
          <w:rFonts w:ascii="Calibri" w:hAnsi="Calibri"/>
          <w:b w:val="0"/>
          <w:color w:val="000000"/>
          <w:sz w:val="21"/>
        </w:rPr>
        <w:t>Dear Hiring Manager,</w:t>
      </w:r>
    </w:p>
    <w:p>
      <w:pPr>
        <w:spacing w:before="0" w:after="160" w:line="260" w:lineRule="exact"/>
      </w:pPr>
      <w:r>
        <w:rPr>
          <w:rFonts w:ascii="Calibri" w:hAnsi="Calibri"/>
          <w:b w:val="0"/>
          <w:color w:val="000000"/>
          <w:sz w:val="21"/>
        </w:rPr>
        <w:t>PwC's reputation for developing finance professionals who combine technical accounting rigour with broad commercial awareness makes it an ideal environment to build on my MSc Finance foundations and CMA Intermediate qualification, while gaining the cross-sector client exposure that accelerates a finance career.</w:t>
      </w:r>
    </w:p>
    <w:p>
      <w:pPr>
        <w:spacing w:before="0" w:after="160" w:line="260" w:lineRule="exact"/>
      </w:pPr>
      <w:r>
        <w:rPr>
          <w:rFonts w:ascii="Calibri" w:hAnsi="Calibri"/>
          <w:b w:val="0"/>
          <w:color w:val="000000"/>
          <w:sz w:val="21"/>
        </w:rPr>
        <w:t>At Accenture, I developed deep financial analysis expertise — building pricing and profitability models, conducting variance analysis on large datasets, and producing management reporting that drove executive decision-making. At SMS LLP, I prepared monthly management accounts, reduced financial losses by 12% through inventory analysis, and supported the annual budgeting cycle. Together these roles gave me the dual perspective of commercial finance and operational management accounting.</w:t>
      </w:r>
    </w:p>
    <w:p>
      <w:pPr>
        <w:spacing w:before="0" w:after="160" w:line="260" w:lineRule="exact"/>
      </w:pPr>
      <w:r>
        <w:rPr>
          <w:rFonts w:ascii="Calibri" w:hAnsi="Calibri"/>
          <w:b w:val="0"/>
          <w:color w:val="000000"/>
          <w:sz w:val="21"/>
        </w:rPr>
        <w:t>My MSc Finance at Lancaster University Management School — where I am on track for a First Class — has equipped me with advanced financial modelling, quantitative analysis, and Bloomberg Terminal skills. My CMA Intermediate qualification, combined with Python, R, SQL, and Advanced Excel capabilities, ensures I can contribute immediately to a data-driven finance team while continuing to develop professionally.</w:t>
      </w:r>
    </w:p>
    <w:p>
      <w:pPr>
        <w:spacing w:before="0" w:after="240" w:line="260" w:lineRule="exact"/>
      </w:pPr>
      <w:r>
        <w:rPr>
          <w:rFonts w:ascii="Calibri" w:hAnsi="Calibri"/>
          <w:b w:val="0"/>
          <w:color w:val="000000"/>
          <w:sz w:val="21"/>
        </w:rPr>
        <w:t>I would welcome the opportunity to discuss how my background can contribute to PwC's goals. I am available for an interview at your earliest convenience and can be reached at jeevajk2112@gmail.com or +44 7466 480480.</w:t>
      </w:r>
    </w:p>
    <w:p>
      <w:pPr>
        <w:spacing w:after="480"/>
      </w:pPr>
      <w:r>
        <w:rPr>
          <w:rFonts w:ascii="Calibri" w:hAnsi="Calibri"/>
          <w:b w:val="0"/>
          <w:color w:val="000000"/>
          <w:sz w:val="21"/>
        </w:rPr>
        <w:t>Yours sincerely,</w:t>
      </w:r>
    </w:p>
    <w:p>
      <w:pPr>
        <w:spacing w:after="0"/>
      </w:pPr>
      <w:r>
        <w:rPr>
          <w:rFonts w:ascii="Calibri" w:hAnsi="Calibri"/>
          <w:b/>
          <w:color w:val="000000"/>
          <w:sz w:val="21"/>
        </w:rPr>
        <w:t>Jeevakumar Jayachandran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