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RAC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Walsall,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Graduate Pricing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RAC's evolution from a breakdown service into a fully integrated insurance and mobility platform means its pricing function must now balance actuarial precision with competitive commercial strategy — precisely the intersection of skills I developed building and stress-testing 600+ pricing models at Accenture.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skill set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RAC's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