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Schroders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Investment Analyst – Private Markets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Schroders' disciplined approach to private markets investing — grounded in rigorous fundamental analysis and long-term value creation — mirrors the analytical framework I applied in my MSc Finance, from building a full FCFF DCF model for Unilever to conducting panel regression on 135,000+ syndicated loan tranches.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has provided hands-on investment analysis experience: I built a full FCFF DCF model to value Unilever's intrinsic equity and applied CAPM to evaluate risk-adjusted returns across 10 FTSE 350 companies — flagging Barclays and HSBC as undervalued on a Buy/Hold basis. I use Bloomberg Terminal daily in my studies and have developed strong Python and R skills through quantitative financial research, including a panel regression on 135,000+ syndicated loan tranches for my dissertation.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dissertation — an econometric study of the ESG debt premium across 135,000+ syndicated loan tranches using DealScan, Compustat, and RepRisk in R — demonstrates both my quantitative rigour and my understanding of debt markets and credit risk dynamics. Combined with my Bloomberg Terminal proficiency, Python and SQL skills, and CMA Intermediate qualification, I bring a technically sophisticated and research-grounded finance skill set.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Schroders's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