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Shell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Finance Analyst – Graduate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Shell's Finance Graduate Programme — spanning Financial Control, Commercial Finance, and Treasury — offers exactly the breadth of experience that transforms strong academic foundations into commercial financial leadership, and I bring both the analytical rigour of MSc Finance and two years of commercial pricing at Accenture to accelerate that journey.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Shell's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