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Unilever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Financial Planning &amp; Analysis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Having conducted an in-depth FCFF DCF valuation of Unilever as part of my MSc Finance coursework — stress-testing intrinsic equity value across WACC, terminal growth, and operating-margin scenarios — I bring both genuine analytical insight into your business and a deep appreciation of the financial rigour Unilever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Unilever's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