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0" w:lineRule="exact"/>
        <w:jc w:val="center"/>
      </w:pPr>
      <w:r>
        <w:rPr>
          <w:rFonts w:ascii="Calibri" w:hAnsi="Calibri"/>
          <w:b/>
          <w:i w:val="0"/>
          <w:color w:val="000000"/>
          <w:sz w:val="30"/>
        </w:rPr>
        <w:t>JEEVAKUMAR JAYACHANDRAN</w:t>
      </w:r>
    </w:p>
    <w:p>
      <w:pPr>
        <w:spacing w:before="0" w:after="80" w:line="230" w:lineRule="exact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 xml:space="preserve">Lancaster, UK   |   </w:t>
      </w:r>
      <w:hyperlink r:id="rId9">
        <w:r>
          <w:rPr>
            <w:rStyle w:val="Hyperlink"/>
          </w:rPr>
          <w:t xml:space="preserve">jeevajk2112@gmail.com</w:t>
        </w:r>
      </w:hyperlink>
      <w:r>
        <w:rPr>
          <w:color w:val="000000"/>
          <w:u w:val="none"/>
        </w:rPr>
      </w:r>
      <w:r>
        <w:rPr>
          <w:rFonts w:ascii="Calibri" w:hAnsi="Calibri"/>
          <w:b w:val="0"/>
          <w:i w:val="0"/>
          <w:color w:val="000000"/>
          <w:sz w:val="20"/>
        </w:rPr>
        <w:t xml:space="preserve">   |   +44 7466 480480   |   </w:t>
      </w:r>
      <w:hyperlink r:id="rId10">
        <w:r>
          <w:rPr>
            <w:rStyle w:val="Hyperlink"/>
          </w:rPr>
          <w:t xml:space="preserve">linkedin.com/in/jeevakumar-j</w:t>
        </w:r>
      </w:hyperlink>
      <w:r>
        <w:rPr>
          <w:color w:val="000000"/>
          <w:u w:val="none"/>
        </w:rPr>
      </w:r>
      <w:r>
        <w:rPr>
          <w:rFonts w:ascii="Calibri" w:hAnsi="Calibri"/>
          <w:b w:val="0"/>
          <w:i w:val="0"/>
          <w:color w:val="000000"/>
          <w:sz w:val="20"/>
        </w:rPr>
        <w:t xml:space="preserve">   |   </w:t>
      </w:r>
      <w:hyperlink r:id="rId11">
        <w:r>
          <w:rPr>
            <w:rStyle w:val="Hyperlink"/>
          </w:rPr>
          <w:t xml:space="preserve">github.com/Jeevajk21</w:t>
        </w:r>
      </w:hyperlink>
      <w:r>
        <w:rPr>
          <w:color w:val="000000"/>
          <w:u w:val="none"/>
        </w:rPr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EDUCATION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MSc Finance</w:t>
      </w:r>
      <w:r>
        <w:rPr>
          <w:rFonts w:ascii="Calibri" w:hAnsi="Calibri"/>
          <w:b w:val="0"/>
          <w:i w:val="0"/>
          <w:color w:val="000000"/>
          <w:sz w:val="21"/>
        </w:rPr>
        <w:t xml:space="preserve"> | Lancaster University Management School, Lancaster, UK</w:t>
      </w:r>
      <w:r>
        <w:rPr>
          <w:rFonts w:ascii="Calibri" w:hAnsi="Calibri"/>
          <w:b w:val="0"/>
          <w:i/>
          <w:color w:val="000000"/>
          <w:sz w:val="21"/>
        </w:rPr>
        <w:tab/>
        <w:t>Oct 2025 – Aug 2026</w:t>
      </w:r>
    </w:p>
    <w:p>
      <w:pPr>
        <w:spacing w:before="0" w:after="40" w:line="230" w:lineRule="exact"/>
        <w:ind w:left="283"/>
      </w:pPr>
      <w:r>
        <w:rPr>
          <w:rFonts w:ascii="Calibri" w:hAnsi="Calibri"/>
          <w:b w:val="0"/>
          <w:i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ESG Debt Premium in the Syndicated Loan Market — panel regression on 135,000+ loan tranches (DealScan, Compustat, RepRisk) in R.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Master of Commerce (M.Com), 82%</w:t>
      </w:r>
      <w:r>
        <w:rPr>
          <w:rFonts w:ascii="Calibri" w:hAnsi="Calibri"/>
          <w:b w:val="0"/>
          <w:i w:val="0"/>
          <w:color w:val="000000"/>
          <w:sz w:val="21"/>
        </w:rPr>
        <w:t xml:space="preserve"> | KCS College of Arts and Science, Chennai, India</w:t>
      </w:r>
      <w:r>
        <w:rPr>
          <w:rFonts w:ascii="Calibri" w:hAnsi="Calibri"/>
          <w:b w:val="0"/>
          <w:i/>
          <w:color w:val="000000"/>
          <w:sz w:val="21"/>
        </w:rPr>
        <w:tab/>
        <w:t>Jun 2019 – Apr 2021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Bachelor of Commerce (B.Com), 72%</w:t>
      </w:r>
      <w:r>
        <w:rPr>
          <w:rFonts w:ascii="Calibri" w:hAnsi="Calibri"/>
          <w:b w:val="0"/>
          <w:i w:val="0"/>
          <w:color w:val="000000"/>
          <w:sz w:val="21"/>
        </w:rPr>
        <w:t xml:space="preserve"> | KCS College of Arts and Science, Chennai, India</w:t>
      </w:r>
      <w:r>
        <w:rPr>
          <w:rFonts w:ascii="Calibri" w:hAnsi="Calibri"/>
          <w:b w:val="0"/>
          <w:i/>
          <w:color w:val="000000"/>
          <w:sz w:val="21"/>
        </w:rPr>
        <w:tab/>
        <w:t>Jun 2016 – Apr 2019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PROFESSIONAL EXPERIENCE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Pricing Associate (Financial Analyst)</w:t>
      </w:r>
      <w:r>
        <w:rPr>
          <w:rFonts w:ascii="Calibri" w:hAnsi="Calibri"/>
          <w:b w:val="0"/>
          <w:i w:val="0"/>
          <w:color w:val="000000"/>
          <w:sz w:val="21"/>
        </w:rPr>
        <w:t xml:space="preserve"> | Accenture, Bengaluru, India</w:t>
      </w:r>
      <w:r>
        <w:rPr>
          <w:rFonts w:ascii="Calibri" w:hAnsi="Calibri"/>
          <w:b w:val="0"/>
          <w:i/>
          <w:color w:val="000000"/>
          <w:sz w:val="21"/>
        </w:rPr>
        <w:tab/>
        <w:t>Jun 2023 – Sep 2025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Engineered and maintained 600+ pricing and profitability models for multimillion-dollar outsourcing contracts, quantifying margin trade-offs across cost, volume, and commercial-term scenarios to inform executive deal-approval decisions.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Designed and measured pricing scenario experiments by building multi-variable sensitivity frameworks — defining success metrics, isolating key cost drivers, and delivering actionable conclusions that shaped final bid strategy and segment-level profitability.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Shaped segment economics by partnering with senior sales and finance stakeholders to evaluate deal economics, pricing segmentation, and long-term contract sustainability across diverse client portfolios.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Reduced manual reporting time by 30% by designing automated performance dashboards in Excel VBA, accelerating pricing decision-making cycles and improving cross-functional visibility into deal performance.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Surfaced margin-improvement opportunities by conducting variance and trend analysis on large pricing datasets, translating complex data into clear pricing recommendations for non-financial stakeholders including product and commercial teams.</w:t>
      </w:r>
    </w:p>
    <w:p>
      <w:pPr>
        <w:spacing w:before="80" w:after="20" w:line="240" w:lineRule="exact"/>
        <w:tabs>
          <w:tab w:val="right" w:pos="9638"/>
        </w:tabs>
      </w:pPr>
      <w:r>
        <w:rPr>
          <w:rFonts w:ascii="Calibri" w:hAnsi="Calibri"/>
          <w:b/>
          <w:i w:val="0"/>
          <w:color w:val="000000"/>
          <w:sz w:val="21"/>
        </w:rPr>
        <w:t>Finance Assistant</w:t>
      </w:r>
      <w:r>
        <w:rPr>
          <w:rFonts w:ascii="Calibri" w:hAnsi="Calibri"/>
          <w:b w:val="0"/>
          <w:i w:val="0"/>
          <w:color w:val="000000"/>
          <w:sz w:val="21"/>
        </w:rPr>
        <w:t xml:space="preserve"> | SMS LLP (Mtandt Group), Chennai, India</w:t>
      </w:r>
      <w:r>
        <w:rPr>
          <w:rFonts w:ascii="Calibri" w:hAnsi="Calibri"/>
          <w:b w:val="0"/>
          <w:i/>
          <w:color w:val="000000"/>
          <w:sz w:val="21"/>
        </w:rPr>
        <w:tab/>
        <w:t>Feb 2022 – May 2023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Produced monthly management accounts and variance analysis reports that tracked financial performance against annual targets, supporting data-driven decision-making for executive leadership.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Reduced potential financial losses by 12% by conducting inventory and asset-performance analysis and recommending targeted provisions, connecting data-driven findings to measurable business outcomes.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Consolidated financial statements and forecasts into concise reporting for non-financial stakeholders, building cross-functional communication skills essential to bridging analytical and product teams.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PRICING ANALYTICS &amp; DATA PROJECTS</w:t>
      </w:r>
    </w:p>
    <w:p>
      <w:pPr>
        <w:spacing w:before="80" w:after="20" w:line="240" w:lineRule="exact"/>
      </w:pPr>
      <w:r>
        <w:rPr>
          <w:rFonts w:ascii="Calibri" w:hAnsi="Calibri"/>
          <w:b/>
          <w:i w:val="0"/>
          <w:color w:val="000000"/>
          <w:sz w:val="21"/>
        </w:rPr>
        <w:t>Health Insurance Pricing Model</w:t>
      </w:r>
      <w:r>
        <w:rPr>
          <w:rFonts w:ascii="Calibri" w:hAnsi="Calibri"/>
          <w:b w:val="0"/>
          <w:i w:val="0"/>
          <w:color w:val="000000"/>
          <w:sz w:val="20"/>
        </w:rPr>
        <w:t xml:space="preserve">   |   Python, Regression Analysis, Segmentation   |   </w:t>
      </w:r>
      <w:hyperlink r:id="rId12">
        <w:r>
          <w:rPr>
            <w:rStyle w:val="Hyperlink"/>
          </w:rPr>
          <w:t xml:space="preserve">github.com/Jeevajk21/Health-Insurance-Pricing-Model</w:t>
        </w:r>
      </w:hyperlink>
      <w:r>
        <w:rPr>
          <w:color w:val="000000"/>
          <w:u w:val="none"/>
        </w:rPr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Built a multi-factor pricing model in Python (Jupyter) to segment policyholders by risk profile, modelling unit economics per cohort and quantifying the sustainability trade-off between coverage scope and premium affordability.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Applied regression analysis to identify the key pricing drivers (age, BMI, smoking status, region) that explained premium variance, enabling data-driven segment-level price optimisation — directly analogous to modelling customer attributes that drive willingness-to-pay in cross-border financial products.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Designed scenario analysis outputs showing how pricing interventions shifted segment-level margins, producing a replicable framework for pricing experiment measurement and A/B test evaluation.</w:t>
      </w:r>
    </w:p>
    <w:p>
      <w:pPr>
        <w:spacing w:before="80" w:after="20" w:line="240" w:lineRule="exact"/>
      </w:pPr>
      <w:r>
        <w:rPr>
          <w:rFonts w:ascii="Calibri" w:hAnsi="Calibri"/>
          <w:b/>
          <w:i w:val="0"/>
          <w:color w:val="000000"/>
          <w:sz w:val="21"/>
        </w:rPr>
        <w:t>Agentic AI DCF Valuation — Spotify Interactive Dashboard</w:t>
      </w:r>
      <w:r>
        <w:rPr>
          <w:rFonts w:ascii="Calibri" w:hAnsi="Calibri"/>
          <w:b w:val="0"/>
          <w:i w:val="0"/>
          <w:color w:val="000000"/>
          <w:sz w:val="20"/>
        </w:rPr>
        <w:t xml:space="preserve">   |   Python, Financial Modelling, Data Visualisation   |   </w:t>
      </w:r>
      <w:hyperlink r:id="rId13">
        <w:r>
          <w:rPr>
            <w:rStyle w:val="Hyperlink"/>
          </w:rPr>
          <w:t xml:space="preserve">github.com/Jeevajk21/Agentic-AI-DCF-Valuation</w:t>
        </w:r>
      </w:hyperlink>
      <w:r>
        <w:rPr>
          <w:color w:val="000000"/>
          <w:u w:val="none"/>
        </w:rPr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Architected an interactive equity research dashboard for Spotify, integrating live financial data into a FCFF DCF model with dynamic scenario controls — demonstrating the ability to translate complex financial models into accessible, product-facing data tools.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Modelled Spotify's subscription economics and segment-level revenue drivers, stress-testing pricing assumptions (ARPU, churn, subscriber growth) across bear/base/bull scenarios to quantify the business impact of pricing decisions.</w:t>
      </w:r>
    </w:p>
    <w:p>
      <w:pPr>
        <w:pStyle w:val="ListBullet"/>
        <w:spacing w:before="0" w:after="60" w:line="230" w:lineRule="exact"/>
        <w:ind w:left="283" w:hanging="198"/>
      </w:pPr>
      <w:r>
        <w:rPr>
          <w:rFonts w:ascii="Calibri" w:hAnsi="Calibri"/>
          <w:b w:val="0"/>
          <w:i w:val="0"/>
          <w:color w:val="000000"/>
          <w:sz w:val="20"/>
        </w:rPr>
        <w:t>Built a reusable analytical framework connecting unit economics to valuation outcomes, mirroring the analytical bridge between pricing strategy and growth impact required in a cross-border payments context.</w:t>
      </w:r>
    </w:p>
    <w:p>
      <w:pPr>
        <w:spacing w:before="160" w:after="80" w:line="240" w:lineRule="exact"/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SKILLS &amp; INTERESTS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i w:val="0"/>
          <w:color w:val="000000"/>
          <w:sz w:val="20"/>
        </w:rPr>
        <w:t>Advanced Excel (VBA, Power Query), SQL, Python (pandas, matplotlib, regression), R (panel regression, dbt-compatible workflows), Bloomberg Terminal, PowerPoint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i w:val="0"/>
          <w:color w:val="000000"/>
          <w:sz w:val="20"/>
        </w:rPr>
        <w:t>Pricing &amp; Profitability Modelling, Segment Economics, Pricing Experiment Design &amp; Measurement, Scenario &amp; Sensitivity Analysis, Variance Analysis, Financial Forecasting, Unit Economics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i w:val="0"/>
          <w:color w:val="000000"/>
          <w:sz w:val="20"/>
        </w:rPr>
        <w:t>CMA Intermediate, Institute of Cost Accountants of India (ICAI)</w:t>
      </w:r>
    </w:p>
    <w:p>
      <w:pPr>
        <w:spacing w:before="0" w:after="60" w:line="230" w:lineRule="exact"/>
      </w:pPr>
      <w:r>
        <w:rPr>
          <w:rFonts w:ascii="Calibri" w:hAnsi="Calibri"/>
          <w:b/>
          <w:i w:val="0"/>
          <w:color w:val="000000"/>
          <w:sz w:val="20"/>
        </w:rPr>
        <w:t xml:space="preserve">Interests: </w:t>
      </w:r>
      <w:r>
        <w:rPr>
          <w:rFonts w:ascii="Calibri" w:hAnsi="Calibri"/>
          <w:b w:val="0"/>
          <w:i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evajk2112@gmail.com" TargetMode="External"/><Relationship Id="rId10" Type="http://schemas.openxmlformats.org/officeDocument/2006/relationships/hyperlink" Target="https://linkedin.com/in/jeevakumar-j" TargetMode="External"/><Relationship Id="rId11" Type="http://schemas.openxmlformats.org/officeDocument/2006/relationships/hyperlink" Target="https://github.com/Jeevajk21" TargetMode="External"/><Relationship Id="rId12" Type="http://schemas.openxmlformats.org/officeDocument/2006/relationships/hyperlink" Target="https://github.com/Jeevajk21/Health-Insurance-Pricing-Model" TargetMode="External"/><Relationship Id="rId13" Type="http://schemas.openxmlformats.org/officeDocument/2006/relationships/hyperlink" Target="https://github.com/Jeevajk21/Agentic-AI-DCF-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