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467F"/>
          <w:sz w:val="32"/>
        </w:rPr>
        <w:t>JEEVAKUMAR JAYACHANDRAN</w:t>
      </w:r>
    </w:p>
    <w:p>
      <w:pPr>
        <w:spacing w:after="80"/>
        <w:jc w:val="center"/>
      </w:pPr>
      <w:r>
        <w:rPr>
          <w:rFonts w:ascii="Calibri" w:hAnsi="Calibri"/>
          <w:b w:val="0"/>
          <w:sz w:val="18"/>
        </w:rPr>
        <w:t>Lancaster, UK  |  jeevajk2112@gmail.com  |  +44 7466 480480  |  linkedin.com/in/jeevakumar-j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PROFESSIONAL PROFILE</w:t>
      </w:r>
    </w:p>
    <w:p>
      <w:pPr>
        <w:spacing w:before="0" w:after="40"/>
      </w:pPr>
      <w:r>
        <w:rPr>
          <w:rFonts w:ascii="Calibri" w:hAnsi="Calibri"/>
          <w:b w:val="0"/>
          <w:sz w:val="19"/>
        </w:rPr>
        <w:t>Recent MSc Finance graduate (First Class, Lancaster University) with two years' professional experience in financial modelling, budgeting, forecasting, and management reporting. Proven ability to build multi-variable Excel models, monitor KPIs against business plans, and deliver financial analysis that supports data-driven decision-making. Actively pursuing CIMA (Management Case Study level) to deepen management accounting expertise.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EDUCATION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MSc Finance</w:t>
      </w:r>
      <w:r>
        <w:rPr>
          <w:rFonts w:ascii="Calibri" w:hAnsi="Calibri"/>
          <w:b w:val="0"/>
          <w:i w:val="0"/>
          <w:sz w:val="18"/>
        </w:rPr>
        <w:tab/>
        <w:t>Oct 2025 – Aug 2026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Lancaster University Management School, Lancaster, UK</w:t>
      </w:r>
      <w:r>
        <w:rPr>
          <w:rFonts w:ascii="Calibri" w:hAnsi="Calibri"/>
          <w:b w:val="0"/>
          <w:i/>
          <w:sz w:val="19"/>
        </w:rPr>
        <w:tab/>
        <w:t>First Class (Expected)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Modules: Financial Modelling, Corporate Finance, Investment Analysis, Quantitative Methods, Bloomberg Terminal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Dissertation: Quantitative analysis of ESG factors and equity risk premia across FTSE 350 constituents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CIMA – Management Case Study Level (In Progress)</w:t>
      </w:r>
      <w:r>
        <w:rPr>
          <w:rFonts w:ascii="Calibri" w:hAnsi="Calibri"/>
          <w:b w:val="0"/>
          <w:i w:val="0"/>
          <w:sz w:val="18"/>
        </w:rPr>
        <w:tab/>
        <w:t>2025 – Present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Chartered Institute of Management Accountants</w:t>
      </w:r>
      <w:r>
        <w:rPr>
          <w:rFonts w:ascii="Calibri" w:hAnsi="Calibri"/>
          <w:b w:val="0"/>
          <w:i w:val="0"/>
          <w:sz w:val="19"/>
        </w:rPr>
        <w:tab/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Management level covering: Financial Reporting, Performance Management, Financial Management, and Business Strategy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Master of Commerce (M.Com)</w:t>
      </w:r>
      <w:r>
        <w:rPr>
          <w:rFonts w:ascii="Calibri" w:hAnsi="Calibri"/>
          <w:b w:val="0"/>
          <w:i w:val="0"/>
          <w:sz w:val="18"/>
        </w:rPr>
        <w:tab/>
        <w:t>Jun 2019 – May 2021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University of Madras, India</w:t>
      </w:r>
      <w:r>
        <w:rPr>
          <w:rFonts w:ascii="Calibri" w:hAnsi="Calibri"/>
          <w:b w:val="0"/>
          <w:i/>
          <w:sz w:val="19"/>
        </w:rPr>
        <w:tab/>
        <w:t>First Class – 82%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Bachelor of Commerce (B.Com)</w:t>
      </w:r>
      <w:r>
        <w:rPr>
          <w:rFonts w:ascii="Calibri" w:hAnsi="Calibri"/>
          <w:b w:val="0"/>
          <w:i w:val="0"/>
          <w:sz w:val="18"/>
        </w:rPr>
        <w:tab/>
        <w:t>Jun 2016 – May 2019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University of Madras, India</w:t>
      </w:r>
      <w:r>
        <w:rPr>
          <w:rFonts w:ascii="Calibri" w:hAnsi="Calibri"/>
          <w:b w:val="0"/>
          <w:i/>
          <w:sz w:val="19"/>
        </w:rPr>
        <w:tab/>
        <w:t>First Class – 72%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PROFESSIONAL EXPERIENCE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Pricing Associate (Financial Analyst)</w:t>
      </w:r>
      <w:r>
        <w:rPr>
          <w:rFonts w:ascii="Calibri" w:hAnsi="Calibri"/>
          <w:b w:val="0"/>
          <w:i w:val="0"/>
          <w:sz w:val="18"/>
        </w:rPr>
        <w:tab/>
        <w:t>Jun 2023 – Sep 2025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Accenture, Bengaluru, India</w:t>
      </w:r>
      <w:r>
        <w:rPr>
          <w:rFonts w:ascii="Calibri" w:hAnsi="Calibri"/>
          <w:b w:val="0"/>
          <w:i w:val="0"/>
          <w:sz w:val="19"/>
        </w:rPr>
        <w:tab/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Engineered and maintained 600+ financial models for multimillion-dollar outsourcing contracts, covering cost modelling, revenue forecasting, and profitability analysis to support commercial bid decisions.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Monitored KPIs and cost variances against approved business plans, producing monthly performance dashboards that highlighted deviation drivers for senior stakeholders.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Built multi-variable sensitivity analysis models in Excel to quantify margin impact across deal scenarios, directly informing pricing strategy and competitive tender submissions.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Reduced manual financial reporting time by 30% by automating data consolidation and performance dashboards using Excel VBA and Power Query.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Collaborated with finance, operations, and commercial teams to develop annual budgets and rolling forecasts, ensuring alignment between financial targets and operational plans.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Finance Assistant</w:t>
      </w:r>
      <w:r>
        <w:rPr>
          <w:rFonts w:ascii="Calibri" w:hAnsi="Calibri"/>
          <w:b w:val="0"/>
          <w:i w:val="0"/>
          <w:sz w:val="18"/>
        </w:rPr>
        <w:tab/>
        <w:t>Feb 2022 – May 2023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SMS LLP (Mtandt Group), Chennai, India</w:t>
      </w:r>
      <w:r>
        <w:rPr>
          <w:rFonts w:ascii="Calibri" w:hAnsi="Calibri"/>
          <w:b w:val="0"/>
          <w:i w:val="0"/>
          <w:sz w:val="19"/>
        </w:rPr>
        <w:tab/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Produced monthly management accounts including P&amp;L analysis and variance commentary, comparing actuals against budget to support operational decision-making.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Maintained accurate financial records through journal postings, accruals, prepayments, and balance sheet reconciliations across multiple cost centres.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Identified a 12% reduction in inventory holding losses through detailed inventory and cost analysis, presenting findings to management with supporting financial models.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Assisted in budgeting and forecasting cycles, including cost centre budget preparation and month-end variance analysis against plan.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ACADEMIC PROJECTS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Unilever PLC – FCFF Valuation Model</w:t>
      </w:r>
      <w:r>
        <w:rPr>
          <w:rFonts w:ascii="Calibri" w:hAnsi="Calibri"/>
          <w:b w:val="0"/>
          <w:i w:val="0"/>
          <w:sz w:val="18"/>
        </w:rPr>
        <w:tab/>
        <w:t>2026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Built a three-statement DCF model projecting free cash flow to firm; benchmarked against analyst consensus using Bloomberg Terminal data.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FTSE 350 – CAPM &amp; Risk Analysis</w:t>
      </w:r>
      <w:r>
        <w:rPr>
          <w:rFonts w:ascii="Calibri" w:hAnsi="Calibri"/>
          <w:b w:val="0"/>
          <w:i w:val="0"/>
          <w:sz w:val="18"/>
        </w:rPr>
        <w:tab/>
        <w:t>2026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Applied Fama-French three-factor model using R (panel regression) across FTSE 350; analysed systematic risk and equity risk premia.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SKILLS &amp; COMPETENCIES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19"/>
        </w:rPr>
        <w:t>Financial Modelling &amp; Analysis:</w:t>
      </w:r>
      <w:r>
        <w:rPr>
          <w:rFonts w:ascii="Calibri" w:hAnsi="Calibri"/>
          <w:b w:val="0"/>
          <w:i w:val="0"/>
          <w:sz w:val="19"/>
        </w:rPr>
        <w:tab/>
        <w:t>Budgeting, Forecasting, Variance Analysis, KPI Monitoring, Cost Modelling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19"/>
        </w:rPr>
        <w:t>Accounting:</w:t>
      </w:r>
      <w:r>
        <w:rPr>
          <w:rFonts w:ascii="Calibri" w:hAnsi="Calibri"/>
          <w:b w:val="0"/>
          <w:i w:val="0"/>
          <w:sz w:val="19"/>
        </w:rPr>
        <w:tab/>
        <w:t>Monthly Management Accounts, Balance Sheet Reconciliations, Journal Postings, Accruals &amp; Prepayments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19"/>
        </w:rPr>
        <w:t>Technical Tools:</w:t>
      </w:r>
      <w:r>
        <w:rPr>
          <w:rFonts w:ascii="Calibri" w:hAnsi="Calibri"/>
          <w:b w:val="0"/>
          <w:i w:val="0"/>
          <w:sz w:val="19"/>
        </w:rPr>
        <w:tab/>
        <w:t>Advanced Excel (VBA, Power Query, Pivot Tables), Python (pandas), SQL, R, Power BI, Bloomberg Terminal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19"/>
        </w:rPr>
        <w:t>Professional:</w:t>
      </w:r>
      <w:r>
        <w:rPr>
          <w:rFonts w:ascii="Calibri" w:hAnsi="Calibri"/>
          <w:b w:val="0"/>
          <w:i w:val="0"/>
          <w:sz w:val="19"/>
        </w:rPr>
        <w:tab/>
        <w:t>CMA Intermediate (ICAI) | CIMA Management Case Study Level (in progress)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