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 w:line="240" w:lineRule="auto"/>
      </w:pPr>
      <w:r>
        <w:rPr>
          <w:rFonts w:ascii="Calibri" w:hAnsi="Calibri"/>
          <w:b/>
          <w:color w:val="000000"/>
          <w:sz w:val="30"/>
        </w:rPr>
        <w:t>JEEVAKUMAR JAYACHANDRAN</w:t>
      </w:r>
    </w:p>
    <w:p>
      <w:pPr>
        <w:jc w:val="center"/>
        <w:spacing w:before="0" w:after="80" w:line="240" w:lineRule="auto"/>
      </w:pPr>
      <w:r>
        <w:rPr>
          <w:rFonts w:ascii="Calibri" w:hAnsi="Calibri"/>
          <w:b w:val="0"/>
          <w:color w:val="000000"/>
          <w:sz w:val="20"/>
        </w:rPr>
        <w:t xml:space="preserve">Lancaster, UK  |  </w:t>
      </w:r>
      <w:hyperlink r:id="rId9">
        <w:r>
          <w:rPr>
            <w:rStyle w:val="Hyperlink"/>
            <w:color w:val="000000"/>
            <w:u w:val="none"/>
          </w:rPr>
          <w:t>jeevajk2112@gmail.com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+44 7466 480480  |  </w:t>
      </w:r>
      <w:hyperlink r:id="rId10">
        <w:r>
          <w:rPr>
            <w:rStyle w:val="Hyperlink"/>
            <w:color w:val="000000"/>
            <w:u w:val="none"/>
          </w:rPr>
          <w:t>linkedin.com/in/jeevakumar-j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Style w:val="Hyperlink"/>
            <w:color w:val="000000"/>
            <w:u w:val="none"/>
          </w:rPr>
          <w:t>github.com/Jeevajk21</w:t>
        </w:r>
      </w:hyperlink>
    </w:p>
    <w:p>
      <w:pPr>
        <w:spacing w:before="120" w:after="6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40" w:after="0" w:line="240" w:lineRule="auto"/>
        <w:tabs>
          <w:tab w:val="right" w:pos="10800"/>
        </w:tabs>
      </w:pPr>
      <w:r>
        <w:rPr>
          <w:rFonts w:ascii="Calibri" w:hAnsi="Calibri"/>
          <w:b/>
          <w:color w:val="000000"/>
          <w:sz w:val="20"/>
        </w:rPr>
        <w:t>Lancaster University Management School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Lancaster, UK</w:t>
      </w:r>
    </w:p>
    <w:p>
      <w:pPr>
        <w:spacing w:before="0" w:after="0" w:line="240" w:lineRule="auto"/>
        <w:tabs>
          <w:tab w:val="right" w:pos="10800"/>
        </w:tabs>
      </w:pPr>
      <w:r>
        <w:rPr>
          <w:rFonts w:ascii="Calibri" w:hAnsi="Calibri"/>
          <w:b w:val="0"/>
          <w:color w:val="000000"/>
          <w:sz w:val="20"/>
        </w:rPr>
        <w:t>MSc Finance (First Class expected)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Oct 2025 – Aug 2026</w:t>
      </w:r>
    </w:p>
    <w:p>
      <w:pPr>
        <w:spacing w:before="0" w:after="0" w:line="240" w:lineRule="auto"/>
      </w:pPr>
      <w:r>
        <w:rPr>
          <w:rFonts w:ascii="Calibri" w:hAnsi="Calibri"/>
          <w:b w:val="0"/>
          <w:color w:val="000000"/>
          <w:sz w:val="20"/>
        </w:rPr>
        <w:t>Modules: Advanced Investment Management, Financial Modelling &amp; Valuation, Python for Data Analysis, Bloomberg Terminal.</w:t>
      </w:r>
    </w:p>
    <w:p>
      <w:pPr>
        <w:spacing w:before="0" w:after="60" w:line="240" w:lineRule="auto"/>
      </w:pPr>
      <w:r>
        <w:rPr>
          <w:rFonts w:ascii="Calibri" w:hAnsi="Calibri"/>
          <w:b w:val="0"/>
          <w:color w:val="000000"/>
          <w:sz w:val="20"/>
        </w:rPr>
        <w:t>Dissertation: ESG Debt Premium in the Syndicated Loan Market — panel regression on 135,000+ loan tranches in R.</w:t>
      </w:r>
    </w:p>
    <w:p>
      <w:pPr>
        <w:spacing w:before="40" w:after="0" w:line="240" w:lineRule="auto"/>
        <w:tabs>
          <w:tab w:val="right" w:pos="10800"/>
        </w:tabs>
      </w:pPr>
      <w:r>
        <w:rPr>
          <w:rFonts w:ascii="Calibri" w:hAnsi="Calibri"/>
          <w:b/>
          <w:color w:val="000000"/>
          <w:sz w:val="20"/>
        </w:rPr>
        <w:t>KCS College of Arts and Science (Madras University)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Chennai, India</w:t>
      </w:r>
    </w:p>
    <w:p>
      <w:pPr>
        <w:spacing w:before="0" w:after="0" w:line="240" w:lineRule="auto"/>
        <w:tabs>
          <w:tab w:val="right" w:pos="10800"/>
        </w:tabs>
      </w:pPr>
      <w:r>
        <w:rPr>
          <w:rFonts w:ascii="Calibri" w:hAnsi="Calibri"/>
          <w:b w:val="0"/>
          <w:color w:val="000000"/>
          <w:sz w:val="20"/>
        </w:rPr>
        <w:t>Master of Commerce (M.Com), 82%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Jun 2019 – Apr 2021</w:t>
      </w:r>
    </w:p>
    <w:p>
      <w:pPr>
        <w:spacing w:before="40" w:after="0" w:line="240" w:lineRule="auto"/>
      </w:pPr>
    </w:p>
    <w:p>
      <w:pPr>
        <w:spacing w:before="40" w:after="0" w:line="240" w:lineRule="auto"/>
        <w:tabs>
          <w:tab w:val="right" w:pos="10800"/>
        </w:tabs>
      </w:pPr>
      <w:r>
        <w:rPr>
          <w:rFonts w:ascii="Calibri" w:hAnsi="Calibri"/>
          <w:b/>
          <w:color w:val="000000"/>
          <w:sz w:val="20"/>
        </w:rPr>
        <w:t>KCS College of Arts and Science (Madras University)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Chennai, India</w:t>
      </w:r>
    </w:p>
    <w:p>
      <w:pPr>
        <w:spacing w:before="0" w:after="0" w:line="240" w:lineRule="auto"/>
        <w:tabs>
          <w:tab w:val="right" w:pos="10800"/>
        </w:tabs>
      </w:pPr>
      <w:r>
        <w:rPr>
          <w:rFonts w:ascii="Calibri" w:hAnsi="Calibri"/>
          <w:b w:val="0"/>
          <w:color w:val="000000"/>
          <w:sz w:val="20"/>
        </w:rPr>
        <w:t>Bachelor of Commerce (B.Com), 72%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Jun 2016 – Apr 2019</w:t>
      </w:r>
    </w:p>
    <w:p>
      <w:pPr>
        <w:spacing w:before="120" w:after="6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40" w:after="0" w:line="240" w:lineRule="auto"/>
        <w:tabs>
          <w:tab w:val="right" w:pos="10800"/>
        </w:tabs>
      </w:pPr>
      <w:r>
        <w:rPr>
          <w:rFonts w:ascii="Calibri" w:hAnsi="Calibri"/>
          <w:b/>
          <w:color w:val="000000"/>
          <w:sz w:val="20"/>
        </w:rPr>
        <w:t>Accenture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Bengaluru, India</w:t>
      </w:r>
    </w:p>
    <w:p>
      <w:pPr>
        <w:spacing w:before="0" w:after="0" w:line="240" w:lineRule="auto"/>
        <w:tabs>
          <w:tab w:val="right" w:pos="10800"/>
        </w:tabs>
      </w:pPr>
      <w:r>
        <w:rPr>
          <w:rFonts w:ascii="Calibri" w:hAnsi="Calibri"/>
          <w:b w:val="0"/>
          <w:color w:val="000000"/>
          <w:sz w:val="20"/>
        </w:rPr>
        <w:t>Pricing Associate (Financial Analyst)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Jun 2023 – Sep 2025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Maintained 100% accuracy of financial records across multiple concurrent client accounts by processing accruals, prepayments, and journal entries during month-end close cycles.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Delivered actionable management reports to non-financial stakeholders, surfacing cost movements, risks, and opportunities, by conducting variance and trend analysis on large financial datasets.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Accelerated management reporting cycles by 30%, improving overall finance team efficiency, by designing automated financial dashboards and reporting tools using Excel VBA.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Optimised cost allocation accuracy and aligned revenue recognition with contract terms by leading cross-functional collaboration between sales, operations, and finance teams.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Supported informed strategic decisions for multimillion-dollar outsourcing contracts by engineering over 600 cost accounting and profitability models incorporating CGS and SGA inputs.</w:t>
      </w:r>
    </w:p>
    <w:p>
      <w:pPr>
        <w:spacing w:before="60" w:after="0" w:line="240" w:lineRule="auto"/>
      </w:pPr>
    </w:p>
    <w:p>
      <w:pPr>
        <w:spacing w:before="40" w:after="0" w:line="240" w:lineRule="auto"/>
        <w:tabs>
          <w:tab w:val="right" w:pos="10800"/>
        </w:tabs>
      </w:pPr>
      <w:r>
        <w:rPr>
          <w:rFonts w:ascii="Calibri" w:hAnsi="Calibri"/>
          <w:b/>
          <w:color w:val="000000"/>
          <w:sz w:val="20"/>
        </w:rPr>
        <w:t>SMS LLP (Mtandt Group)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Chennai, India</w:t>
      </w:r>
    </w:p>
    <w:p>
      <w:pPr>
        <w:spacing w:before="0" w:after="0" w:line="240" w:lineRule="auto"/>
        <w:tabs>
          <w:tab w:val="right" w:pos="10800"/>
        </w:tabs>
      </w:pPr>
      <w:r>
        <w:rPr>
          <w:rFonts w:ascii="Calibri" w:hAnsi="Calibri"/>
          <w:b w:val="0"/>
          <w:color w:val="000000"/>
          <w:sz w:val="20"/>
        </w:rPr>
        <w:t>Finance Assistant</w:t>
      </w:r>
      <w:r>
        <w:rPr>
          <w:rFonts w:ascii="Calibri" w:hAnsi="Calibri"/>
          <w:b w:val="0"/>
          <w:color w:val="000000"/>
          <w:sz w:val="20"/>
        </w:rPr>
        <w:tab/>
      </w:r>
      <w:r>
        <w:rPr>
          <w:rFonts w:ascii="Calibri" w:hAnsi="Calibri"/>
          <w:b w:val="0"/>
          <w:color w:val="000000"/>
          <w:sz w:val="20"/>
        </w:rPr>
        <w:t>Feb 2022 – May 2023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Maintained full compliance with financial reporting standards and clean audit trails by reconciling balance sheet accounts and investigating discrepancies end-to-end.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Tracked site overhead costs and financial performance against annual targets, surfacing critical deviations, by conducting monthly variance analysis on premises, utilities, and general overhead cost centres.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Reduced potential financial losses by 12%, securing company capital, by conducting rigorous inventory and asset-performance analysis to recommend targeted management provisions.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Improved forecast accuracy and planning reliability for the annual budgeting cycle by gathering and validating financial data across diverse business units in support of CGS and SGA forecasting.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Delivered concise executive reporting packages, including P&amp;L and balance sheets, by consolidating multi-source financial data into monthly management accounts for senior management review.</w:t>
      </w:r>
    </w:p>
    <w:p>
      <w:pPr>
        <w:spacing w:before="120" w:after="6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INVESTMENT &amp; FINANCIAL ANALYSIS PROJECTS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20"/>
        </w:rPr>
        <w:t>Unilever PLC: Intrinsic Valuation via FCFF DCF Model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Produced stress-tested valuation outputs across WACC and growth assumptions by constructing a comprehensive FCFF discounted cash flow model to determine intrinsic equity value.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Formulated an equity-research-style Buy/Sell recommendation, identifying the firm as a defensive business with limited upside, by analysing macro and discount-rate risks.</w:t>
      </w:r>
    </w:p>
    <w:p>
      <w:pPr>
        <w:spacing w:before="40" w:after="0" w:line="240" w:lineRule="auto"/>
      </w:pP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20"/>
        </w:rPr>
        <w:t>FTSE 350 Portfolio: Equity Valuation &amp; Risk Analysis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Flagged specific equities as under- or over-valued, delivering targeted investment insights, by calculating beta and risk-adjusted expected returns for 10 FTSE 350 companies using CAPM.</w:t>
      </w:r>
    </w:p>
    <w:p>
      <w:pPr>
        <w:pStyle w:val="ListBullet"/>
        <w:spacing w:before="0" w:after="40" w:line="240" w:lineRule="auto"/>
        <w:ind w:left="288" w:hanging="216"/>
      </w:pPr>
      <w:r>
        <w:rPr>
          <w:rFonts w:ascii="Calibri" w:hAnsi="Calibri"/>
          <w:b w:val="0"/>
          <w:color w:val="000000"/>
          <w:sz w:val="20"/>
        </w:rPr>
        <w:t>Delivered a fully reasoned portfolio recommendation, establishing strong investment rationales, by applying systematic-risk and return-risk trade-off frameworks.</w:t>
      </w:r>
    </w:p>
    <w:p>
      <w:pPr>
        <w:spacing w:before="120" w:after="6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SKILLS &amp; INTERESTS</w:t>
      </w:r>
    </w:p>
    <w:p>
      <w:pPr>
        <w:spacing w:before="4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Technical Tools: </w:t>
      </w:r>
      <w:r>
        <w:rPr>
          <w:rFonts w:ascii="Calibri" w:hAnsi="Calibri"/>
          <w:b w:val="0"/>
          <w:color w:val="000000"/>
          <w:sz w:val="20"/>
        </w:rPr>
        <w:t>Advanced Excel (VBA, Power Query, pivot tables), Bloomberg Terminal, Python (pandas, data visualisation), R (panel regression), PowerPoint; exposure to ERP-based financial workflows.</w:t>
      </w:r>
    </w:p>
    <w:p>
      <w:pPr>
        <w:spacing w:before="4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Financial Competencies: </w:t>
      </w:r>
      <w:r>
        <w:rPr>
          <w:rFonts w:ascii="Calibri" w:hAnsi="Calibri"/>
          <w:b w:val="0"/>
          <w:color w:val="000000"/>
          <w:sz w:val="20"/>
        </w:rPr>
        <w:t>Management Accounts Preparation, Month-End Close &amp; Journal Processing, Balance Sheet Reconciliation, Accruals &amp; Prepayments, Overhead Cost Analysis, Variance Analysis, Budgeting &amp; Forecasting (CGS &amp; SGA), Cost Allocation, Financial Reporting &amp; Controls, Continuous Process Improvement.</w:t>
      </w:r>
    </w:p>
    <w:p>
      <w:pPr>
        <w:spacing w:before="4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Certifications: </w:t>
      </w:r>
      <w:r>
        <w:rPr>
          <w:rFonts w:ascii="Calibri" w:hAnsi="Calibri"/>
          <w:b w:val="0"/>
          <w:color w:val="000000"/>
          <w:sz w:val="20"/>
        </w:rPr>
        <w:t>CMA Intermediate, Institute of Cost Accountants of India (ICAI) — equivalent to CIMA/ACCA part-qualified.</w:t>
      </w:r>
    </w:p>
    <w:p>
      <w:pPr>
        <w:spacing w:before="40" w:after="40" w:line="240" w:lineRule="auto"/>
      </w:pPr>
      <w:r>
        <w:rPr>
          <w:rFonts w:ascii="Calibri" w:hAnsi="Calibri"/>
          <w:b/>
          <w:color w:val="000000"/>
          <w:sz w:val="20"/>
        </w:rPr>
        <w:t xml:space="preserve">Interests: </w:t>
      </w:r>
      <w:r>
        <w:rPr>
          <w:rFonts w:ascii="Calibri" w:hAnsi="Calibri"/>
          <w:b w:val="0"/>
          <w:color w:val="000000"/>
          <w:sz w:val="20"/>
        </w:rPr>
        <w:t>Chess, Painting.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evajk2112@gmail.com" TargetMode="External"/><Relationship Id="rId10" Type="http://schemas.openxmlformats.org/officeDocument/2006/relationships/hyperlink" Target="https://linkedin.com/in/jeevakumar-j" TargetMode="External"/><Relationship Id="rId11" Type="http://schemas.openxmlformats.org/officeDocument/2006/relationships/hyperlink" Target="https://github.com/Jeevajk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