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AXA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00000"/>
          <w:sz w:val="21"/>
        </w:rPr>
        <w:t>Re: Application for Graduate Pricing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AXA UK's Retail Pricing team — supporting New Business and Renewals analytics across Home and Motor lines — represents the ideal intersection of actuarial rigour and commercial strategy where my pricing modelling and sensitivity analysis skills from Accenture can add immediate value.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engineered and maintained over 600 pricing and profitability models for multimillion-dollar outsourcing contracts, structuring competitive pricing strategies that maximised long-term contract profitability. I quantified margin impacts across multiple deal scenarios through multi-variable sensitivity analysis, and reduced manual reporting time by 30% by automating performance dashboards in Excel VBA. These experiences provide exactly the commercial pricing expertise this role demands.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AXA UK's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