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Ashurst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Commercial &amp; Pricing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Ashurst's position as a leading global law firm means its commercial pricing function must support complex, high-value deal structures with analytical precision — exactly the environment where my experience structuring competitive pricing and evaluating deal economics at Accenture is directly applicable.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engineered and maintained over 600 pricing and profitability models for multimillion-dollar outsourcing contracts, structuring competitive pricing strategies that maximised long-term contract profitability. I quantified margin impacts across multiple deal scenarios through multi-variable sensitivity analysis, and reduced manual reporting time by 30% by automating performance dashboards in Excel VBA. These experiences provide exactly the commercial pricing expertise this role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Ashurst's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