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Deutsche Bank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Analyst – Deutsche Bank Graduate Programme 2026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Deutsche Bank's Fixed Income &amp; Currencies division sits at the intersection of market analytics and quantitative finance — an environment that directly builds on my MSc Finance dissertation, where I conducted panel regression analysis on 135,000+ syndicated loan tranches to study ESG pricing dynamics in debt markets.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and have developed strong Python and R skills through quantitative research, including a panel regression on 135,000+ syndicated loan tranches for my MSc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dissertation — an econometric study of the ESG debt premium across 135,000+ syndicated loan tranches using DealScan, Compustat, and RepRisk in R — demonstrates both my quantitative rigour and my understanding of debt markets and credit risk dynamics. Combined with Bloomberg Terminal proficiency, Python and SQL skills, and CMA Intermediate qualification, I bring a technically sophisticated and research-grounded finance skill set.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Deutsche Bank's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