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Pictet Group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Graduate Financial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Pictet Group's heritage as one of Europe's premier independent wealth and asset managers — combined with its long-term investment philosophy grounded in fundamental research — mirrors the rigorous, research-driven approach I took in my MSc Finance projects, from building a full FCFF DCF model for Unilever to cross-sectional CAPM analysis across the FTSE 350.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has provided hands-on investment analysis experience: I built a full FCFF DCF model to value Unilever's intrinsic equity and applied CAPM to evaluate risk-adjusted returns across 10 FTSE 350 companies — flagging Barclays and HSBC as undervalued on a Buy/Hold basis. I use Bloomberg Terminal daily and have developed strong Python and R skills through quantitative research, including a panel regression on 135,000+ syndicated loan tranches for my MSc dissertation.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dissertation — an econometric study of the ESG debt premium across 135,000+ syndicated loan tranches using DealScan, Compustat, and RepRisk in R — demonstrates both my quantitative rigour and my understanding of debt markets and credit risk dynamics. Combined with Bloomberg Terminal proficiency, Python and SQL skills, and CMA Intermediate qualification, I bring a technically sophisticated and research-grounded finance skill set.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Pictet Group's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