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Raytheon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Glenrothes, Scotland,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Pricing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Raytheon UK's defence contracting environment — where pricing must reflect complex programme risks, cost structures, and government tender requirements — mirrors the multimillion-dollar bid pricing methodology I developed at Accenture, where rigorous cost modelling and scenario analysis underpinned final deal strategy.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At Accenture, I engineered and maintained over 600 pricing and profitability models for multimillion-dollar outsourcing contracts, structuring competitive pricing strategies that maximised long-term contract profitability. I quantified margin impacts across multiple deal scenarios through multi-variable sensitivity analysis, and reduced manual reporting time by 30% by automating performance dashboards in Excel VBA. These experiences provide exactly the commercial pricing expertise this role demands.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University Management School — where I am on track for a First Class — has equipped me with advanced financial modelling, quantitative analysis, and Bloomberg Terminal skills. My CMA Intermediate qualification, combined with Python, R, SQL, and Advanced Excel capabilities, ensures I can contribute immediately to a data-driven finance team while continuing to develop professionally.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Raytheon UK's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