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0"/>
        </w:rPr>
        <w:t>JEEVAKUMAR JAYACHANDRAN</w:t>
      </w:r>
    </w:p>
    <w:p>
      <w:pPr>
        <w:spacing w:before="0" w:after="80" w:line="240" w:lineRule="exact"/>
        <w:jc w:val="center"/>
      </w:pPr>
      <w:r>
        <w:rPr>
          <w:rFonts w:ascii="Calibri" w:hAnsi="Calibri"/>
          <w:b w:val="0"/>
          <w:color w:val="000000"/>
          <w:sz w:val="20"/>
        </w:rPr>
        <w:t>Lancaster, UK   |   jeevajk2112@gmail.com   |   +44 7466 480480   |   linkedin.com/in/jeevakumar-j</w:t>
      </w: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MSc Finance</w:t>
      </w:r>
      <w:r>
        <w:rPr>
          <w:rFonts w:ascii="Calibri" w:hAnsi="Calibri"/>
          <w:b w:val="0"/>
          <w:color w:val="000000"/>
          <w:sz w:val="20"/>
        </w:rPr>
        <w:tab/>
        <w:t>Oct 2025 – Aug 2026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Lancaster University Management School, Lancaster, UK</w:t>
      </w:r>
    </w:p>
    <w:p>
      <w:pPr>
        <w:spacing w:before="0" w:after="60" w:line="230" w:lineRule="exact"/>
      </w:pPr>
      <w:r>
        <w:rPr>
          <w:rFonts w:ascii="Calibri" w:hAnsi="Calibri"/>
          <w:b w:val="0"/>
          <w:color w:val="000000"/>
          <w:sz w:val="20"/>
        </w:rPr>
        <w:t>First Class expected. Modules: Advanced Investment Management, Financial Modelling &amp; Valuation, Python for Data Analysis, Financial Databases (Bloomberg Terminal). Dissertation: The ESG Debt Premium in the Syndicated Loan Market — panel regression on 135,000+ loan tranches (DealScan, Compustat, RepRisk) in R.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Master of Commerce (M.Com), 82%</w:t>
      </w:r>
      <w:r>
        <w:rPr>
          <w:rFonts w:ascii="Calibri" w:hAnsi="Calibri"/>
          <w:b w:val="0"/>
          <w:color w:val="000000"/>
          <w:sz w:val="20"/>
        </w:rPr>
        <w:tab/>
        <w:t>Jun 2019 – Apr 2021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KCS College of Arts and Science, Chennai, India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Bachelor of Commerce (B.Com), 72%</w:t>
      </w:r>
      <w:r>
        <w:rPr>
          <w:rFonts w:ascii="Calibri" w:hAnsi="Calibri"/>
          <w:b w:val="0"/>
          <w:color w:val="000000"/>
          <w:sz w:val="20"/>
        </w:rPr>
        <w:tab/>
        <w:t>Jun 2016 – Apr 2019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KCS College of Arts and Science, Chennai, India</w:t>
      </w: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PROFESSIONAL EXPERIENCE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Pricing Associate (Financial Analyst) | Accenture, Bengaluru, India</w:t>
      </w:r>
      <w:r>
        <w:rPr>
          <w:rFonts w:ascii="Calibri" w:hAnsi="Calibri"/>
          <w:b w:val="0"/>
          <w:color w:val="000000"/>
          <w:sz w:val="20"/>
        </w:rPr>
        <w:tab/>
        <w:t>Jun 2023 – Sep 2025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Engineered and maintained 600+ pricing and profitability models for multimillion-dollar outsourcing contracts, producing revenue and cost forecasts that underpinned executive deal-approval decisions.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Structured competitive pricing strategies that maximised long-term contract profitability by partnering with senior sales and finance stakeholders to evaluate deal economics and commercial terms.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Quantified margin impacts across multiple deal scenarios by running multi-variable sensitivity analysis, isolating key cost drivers and downside risks that shaped final bid strategy.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Reduced manual reporting time by 30% by designing automated performance dashboards in Excel VBA, accelerating decision-making cycles across the pricing team.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Surfaced margin-improvement opportunities by conducting variance and trend analysis on large pricing datasets, distilling complex figures into clear recommendations for non-financial stakeholders.</w:t>
      </w:r>
    </w:p>
    <w:p>
      <w:pPr>
        <w:spacing w:after="40"/>
      </w:pP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Finance Assistant | SMS LLP (Mtandt Group), Chennai, India</w:t>
      </w:r>
      <w:r>
        <w:rPr>
          <w:rFonts w:ascii="Calibri" w:hAnsi="Calibri"/>
          <w:b w:val="0"/>
          <w:color w:val="000000"/>
          <w:sz w:val="20"/>
        </w:rPr>
        <w:tab/>
        <w:t>Feb 2022 – May 2023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Produced monthly management accounts and forecasts that supported executive decision-making, consolidating financial statements into concise reporting for non-financial leaders.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Reduced potential financial losses by 12% by conducting inventory and asset-performance analysis and recommending targeted provisions to management.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Tracked financial performance against annual targets by supporting the budgeting cycle and delivering monthly variance analysis.</w:t>
      </w:r>
    </w:p>
    <w:p>
      <w:pPr>
        <w:spacing w:after="40"/>
      </w:pP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INVESTMENT &amp; FINANCIAL ANALYSIS PROJECTS</w:t>
      </w:r>
    </w:p>
    <w:p>
      <w:pPr>
        <w:spacing w:before="40" w:after="20"/>
      </w:pPr>
      <w:r>
        <w:rPr>
          <w:rFonts w:ascii="Calibri" w:hAnsi="Calibri"/>
          <w:b/>
          <w:color w:val="000000"/>
          <w:sz w:val="20"/>
        </w:rPr>
        <w:t>Unilever PLC: Intrinsic Valuation via FCFF DCF Model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Valued Unilever's intrinsic equity by building a full FCFF discounted cash flow model, stress-testing outputs through scenario and sensitivity analysis across WACC, terminal growth, and operating-margin assumptions.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Framed an equity-research-style recommendation identifying Unilever as a defensive, cash-generative business with limited near-term upside, driven by macro and discount-rate risk.</w:t>
      </w:r>
    </w:p>
    <w:p>
      <w:pPr>
        <w:spacing w:after="20"/>
      </w:pPr>
    </w:p>
    <w:p>
      <w:pPr>
        <w:spacing w:before="40" w:after="20"/>
      </w:pPr>
      <w:r>
        <w:rPr>
          <w:rFonts w:ascii="Calibri" w:hAnsi="Calibri"/>
          <w:b/>
          <w:color w:val="000000"/>
          <w:sz w:val="20"/>
        </w:rPr>
        <w:t>FTSE 350 Portfolio: Equity Valuation &amp; Risk Analysis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Calculated beta and risk-adjusted expected returns for 10 FTSE 350 companies applying CAPM, flagging HSBC and Barclays as undervalued (Buy/Hold) and Glencore and Unilever as overvalued (Sell).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Formulated a buy/sell investment rationale grounded in systematic-risk and return-risk trade-off frameworks.</w:t>
      </w:r>
    </w:p>
    <w:p>
      <w:pPr>
        <w:spacing w:after="20"/>
      </w:pP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SKILLS &amp; INTERESTS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Technical Tools: </w:t>
      </w:r>
      <w:r>
        <w:rPr>
          <w:rFonts w:ascii="Calibri" w:hAnsi="Calibri"/>
          <w:b w:val="0"/>
          <w:color w:val="000000"/>
          <w:sz w:val="20"/>
        </w:rPr>
        <w:t>Advanced Excel (VBA, Power Query), Bloomberg Terminal, Python (pandas, data visualisation), R (panel regression), SQL, PowerPoint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Financial Competencies: </w:t>
      </w:r>
      <w:r>
        <w:rPr>
          <w:rFonts w:ascii="Calibri" w:hAnsi="Calibri"/>
          <w:b w:val="0"/>
          <w:color w:val="000000"/>
          <w:sz w:val="20"/>
        </w:rPr>
        <w:t>Equity Valuation (DCF, CAPM), Pricing &amp; Profitability Modelling, Scenario &amp; Sensitivity Analysis, Financial Forecasting, Management Accounting, Variance Analysis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Certifications: </w:t>
      </w:r>
      <w:r>
        <w:rPr>
          <w:rFonts w:ascii="Calibri" w:hAnsi="Calibri"/>
          <w:b w:val="0"/>
          <w:color w:val="000000"/>
          <w:sz w:val="20"/>
        </w:rPr>
        <w:t>CMA Intermediate, Institute of Cost Accountants of India (ICAI)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Interests: </w:t>
      </w:r>
      <w:r>
        <w:rPr>
          <w:rFonts w:ascii="Calibri" w:hAnsi="Calibri"/>
          <w:b w:val="0"/>
          <w:color w:val="000000"/>
          <w:sz w:val="20"/>
        </w:rPr>
        <w:t>Chess, Painting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