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20" w:lineRule="exact"/>
        <w:jc w:val="center"/>
      </w:pPr>
      <w:r>
        <w:rPr>
          <w:rFonts w:ascii="Calibri" w:hAnsi="Calibri"/>
          <w:b/>
          <w:i w:val="0"/>
          <w:color w:val="000000"/>
          <w:sz w:val="30"/>
        </w:rPr>
        <w:t>JEEVAKUMAR JAYACHANDRAN</w:t>
      </w:r>
    </w:p>
    <w:p>
      <w:pPr>
        <w:spacing w:before="0" w:after="80" w:line="230" w:lineRule="exact"/>
        <w:jc w:val="center"/>
      </w:pPr>
      <w:r>
        <w:rPr>
          <w:rFonts w:ascii="Calibri" w:hAnsi="Calibri"/>
          <w:b w:val="0"/>
          <w:i w:val="0"/>
          <w:color w:val="000000"/>
          <w:sz w:val="20"/>
        </w:rPr>
        <w:t xml:space="preserve">Lancaster, UK   |   </w:t>
      </w:r>
      <w:hyperlink r:id="rId9">
        <w:r>
          <w:rPr>
            <w:rStyle w:val="Hyperlink"/>
          </w:rPr>
          <w:t xml:space="preserve">jeevajk2112@gmail.com</w:t>
        </w:r>
      </w:hyperlink>
      <w:r>
        <w:rPr>
          <w:color w:val="000000"/>
        </w:rPr>
      </w:r>
      <w:r>
        <w:rPr>
          <w:rFonts w:ascii="Calibri" w:hAnsi="Calibri"/>
          <w:b w:val="0"/>
          <w:i w:val="0"/>
          <w:color w:val="000000"/>
          <w:sz w:val="20"/>
        </w:rPr>
        <w:t xml:space="preserve">   |   +44 7466 480480   |   </w:t>
      </w:r>
      <w:hyperlink r:id="rId10">
        <w:r>
          <w:rPr>
            <w:rStyle w:val="Hyperlink"/>
          </w:rPr>
          <w:t xml:space="preserve">linkedin.com/in/jeevakumar-j</w:t>
        </w:r>
      </w:hyperlink>
      <w:r>
        <w:rPr>
          <w:color w:val="000000"/>
        </w:rPr>
      </w:r>
      <w:r>
        <w:rPr>
          <w:rFonts w:ascii="Calibri" w:hAnsi="Calibri"/>
          <w:b w:val="0"/>
          <w:i w:val="0"/>
          <w:color w:val="000000"/>
          <w:sz w:val="20"/>
        </w:rPr>
        <w:t xml:space="preserve">   |   </w:t>
      </w:r>
      <w:hyperlink r:id="rId11">
        <w:r>
          <w:rPr>
            <w:rStyle w:val="Hyperlink"/>
          </w:rPr>
          <w:t xml:space="preserve">github.com/Jeevajk21</w:t>
        </w:r>
      </w:hyperlink>
      <w:r>
        <w:rPr>
          <w:color w:val="000000"/>
        </w:rPr>
      </w:r>
    </w:p>
    <w:p>
      <w:pPr>
        <w:spacing w:before="40" w:after="40"/>
        <w:pBdr>
          <w:bottom w:val="single" w:sz="6" w:space="1" w:color="000000"/>
        </w:pBdr>
      </w:pPr>
    </w:p>
    <w:p>
      <w:pPr>
        <w:spacing w:before="140" w:after="60" w:line="240" w:lineRule="exact"/>
        <w:pBdr>
          <w:bottom w:val="single" w:sz="4" w:space="1" w:color="000000"/>
        </w:pBdr>
      </w:pPr>
      <w:r>
        <w:rPr>
          <w:rFonts w:ascii="Calibri" w:hAnsi="Calibri"/>
          <w:b/>
          <w:i w:val="0"/>
          <w:color w:val="000000"/>
          <w:sz w:val="22"/>
        </w:rPr>
        <w:t>EDUCATION</w:t>
      </w:r>
    </w:p>
    <w:p>
      <w:pPr>
        <w:spacing w:before="80" w:after="20" w:line="240" w:lineRule="exact"/>
        <w:tabs>
          <w:tab w:val="right" w:pos="9780"/>
        </w:tabs>
      </w:pPr>
      <w:r>
        <w:rPr>
          <w:rFonts w:ascii="Calibri" w:hAnsi="Calibri"/>
          <w:b/>
          <w:i w:val="0"/>
          <w:color w:val="000000"/>
          <w:sz w:val="21"/>
        </w:rPr>
        <w:t>MSc Finance</w:t>
      </w:r>
      <w:r>
        <w:rPr>
          <w:rFonts w:ascii="Calibri" w:hAnsi="Calibri"/>
          <w:b w:val="0"/>
          <w:i w:val="0"/>
          <w:color w:val="000000"/>
          <w:sz w:val="21"/>
        </w:rPr>
        <w:t xml:space="preserve"> | Lancaster University Management School, Lancaster, UK</w:t>
      </w:r>
      <w:r>
        <w:rPr>
          <w:rFonts w:ascii="Calibri" w:hAnsi="Calibri"/>
          <w:b w:val="0"/>
          <w:i/>
          <w:color w:val="000000"/>
          <w:sz w:val="21"/>
        </w:rPr>
        <w:tab/>
        <w:t>Oct 2025 – Aug 2026</w:t>
      </w:r>
    </w:p>
    <w:p>
      <w:pPr>
        <w:spacing w:before="0" w:after="40" w:line="230" w:lineRule="exact"/>
        <w:ind w:left="283"/>
      </w:pPr>
      <w:r>
        <w:rPr>
          <w:rFonts w:ascii="Calibri" w:hAnsi="Calibri"/>
          <w:b w:val="0"/>
          <w:i/>
          <w:color w:val="000000"/>
          <w:sz w:val="20"/>
        </w:rPr>
        <w:t>First Class expected. Modules: Advanced Investment Management, Financial Modelling &amp; Valuation, Python for Data Analysis, Financial Databases (Bloomberg Terminal). Dissertation: ESG Debt Premium in the Syndicated Loan Market — panel regression on 135,000+ loan tranches in R.</w:t>
      </w:r>
    </w:p>
    <w:p>
      <w:pPr>
        <w:spacing w:before="80" w:after="20" w:line="240" w:lineRule="exact"/>
        <w:tabs>
          <w:tab w:val="right" w:pos="9780"/>
        </w:tabs>
      </w:pPr>
      <w:r>
        <w:rPr>
          <w:rFonts w:ascii="Calibri" w:hAnsi="Calibri"/>
          <w:b/>
          <w:i w:val="0"/>
          <w:color w:val="000000"/>
          <w:sz w:val="21"/>
        </w:rPr>
        <w:t>Master of Commerce (M.Com), 82%</w:t>
      </w:r>
      <w:r>
        <w:rPr>
          <w:rFonts w:ascii="Calibri" w:hAnsi="Calibri"/>
          <w:b w:val="0"/>
          <w:i w:val="0"/>
          <w:color w:val="000000"/>
          <w:sz w:val="21"/>
        </w:rPr>
        <w:t xml:space="preserve"> | KCS College of Arts and Science, Chennai, India</w:t>
      </w:r>
      <w:r>
        <w:rPr>
          <w:rFonts w:ascii="Calibri" w:hAnsi="Calibri"/>
          <w:b w:val="0"/>
          <w:i/>
          <w:color w:val="000000"/>
          <w:sz w:val="21"/>
        </w:rPr>
        <w:tab/>
        <w:t>Jun 2019 – Apr 2021</w:t>
      </w:r>
    </w:p>
    <w:p>
      <w:pPr>
        <w:spacing w:before="80" w:after="20" w:line="240" w:lineRule="exact"/>
        <w:tabs>
          <w:tab w:val="right" w:pos="9780"/>
        </w:tabs>
      </w:pPr>
      <w:r>
        <w:rPr>
          <w:rFonts w:ascii="Calibri" w:hAnsi="Calibri"/>
          <w:b/>
          <w:i w:val="0"/>
          <w:color w:val="000000"/>
          <w:sz w:val="21"/>
        </w:rPr>
        <w:t>Bachelor of Commerce (B.Com), 72%</w:t>
      </w:r>
      <w:r>
        <w:rPr>
          <w:rFonts w:ascii="Calibri" w:hAnsi="Calibri"/>
          <w:b w:val="0"/>
          <w:i w:val="0"/>
          <w:color w:val="000000"/>
          <w:sz w:val="21"/>
        </w:rPr>
        <w:t xml:space="preserve"> | KCS College of Arts and Science, Chennai, India</w:t>
      </w:r>
      <w:r>
        <w:rPr>
          <w:rFonts w:ascii="Calibri" w:hAnsi="Calibri"/>
          <w:b w:val="0"/>
          <w:i/>
          <w:color w:val="000000"/>
          <w:sz w:val="21"/>
        </w:rPr>
        <w:tab/>
        <w:t>Jun 2016 – Apr 2019</w:t>
      </w:r>
    </w:p>
    <w:p>
      <w:pPr>
        <w:spacing w:before="140" w:after="60" w:line="240" w:lineRule="exact"/>
        <w:pBdr>
          <w:bottom w:val="single" w:sz="4" w:space="1" w:color="000000"/>
        </w:pBdr>
      </w:pPr>
      <w:r>
        <w:rPr>
          <w:rFonts w:ascii="Calibri" w:hAnsi="Calibri"/>
          <w:b/>
          <w:i w:val="0"/>
          <w:color w:val="000000"/>
          <w:sz w:val="22"/>
        </w:rPr>
        <w:t>PROFESSIONAL EXPERIENCE</w:t>
      </w:r>
    </w:p>
    <w:p>
      <w:pPr>
        <w:spacing w:before="80" w:after="20" w:line="240" w:lineRule="exact"/>
        <w:tabs>
          <w:tab w:val="right" w:pos="9780"/>
        </w:tabs>
      </w:pPr>
      <w:r>
        <w:rPr>
          <w:rFonts w:ascii="Calibri" w:hAnsi="Calibri"/>
          <w:b/>
          <w:i w:val="0"/>
          <w:color w:val="000000"/>
          <w:sz w:val="21"/>
        </w:rPr>
        <w:t>Pricing &amp; Costing Associate (Financial Analyst)</w:t>
      </w:r>
      <w:r>
        <w:rPr>
          <w:rFonts w:ascii="Calibri" w:hAnsi="Calibri"/>
          <w:b w:val="0"/>
          <w:i w:val="0"/>
          <w:color w:val="000000"/>
          <w:sz w:val="21"/>
        </w:rPr>
        <w:t xml:space="preserve"> | Accenture, Bengaluru, India</w:t>
      </w:r>
      <w:r>
        <w:rPr>
          <w:rFonts w:ascii="Calibri" w:hAnsi="Calibri"/>
          <w:b w:val="0"/>
          <w:i/>
          <w:color w:val="000000"/>
          <w:sz w:val="21"/>
        </w:rPr>
        <w:tab/>
        <w:t>Jun 2023 – Sep 2025</w:t>
      </w:r>
    </w:p>
    <w:p>
      <w:pPr>
        <w:pStyle w:val="ListBullet"/>
        <w:spacing w:before="0" w:after="60" w:line="230" w:lineRule="exact"/>
        <w:ind w:left="283" w:hanging="198"/>
      </w:pPr>
      <w:r>
        <w:rPr>
          <w:rFonts w:ascii="Calibri" w:hAnsi="Calibri"/>
          <w:b w:val="0"/>
          <w:i w:val="0"/>
          <w:color w:val="000000"/>
          <w:sz w:val="20"/>
        </w:rPr>
        <w:t>Owned and developed end-to-end cost modelling methodology across 600+ commercial contracts, building bottom-up cost models from production inputs — translating labour, material, overhead and volume assumptions into structured pricing and profitability outputs for executive decision-making.</w:t>
      </w:r>
    </w:p>
    <w:p>
      <w:pPr>
        <w:pStyle w:val="ListBullet"/>
        <w:spacing w:before="0" w:after="60" w:line="230" w:lineRule="exact"/>
        <w:ind w:left="283" w:hanging="198"/>
      </w:pPr>
      <w:r>
        <w:rPr>
          <w:rFonts w:ascii="Calibri" w:hAnsi="Calibri"/>
          <w:b w:val="0"/>
          <w:i w:val="0"/>
          <w:color w:val="000000"/>
          <w:sz w:val="20"/>
        </w:rPr>
        <w:t>Translated complex input data (resource plans, cost routings, scope definitions) into accurate bottom-up cost estimates, ensuring pricing was technically robust and commercially sound for multimillion-dollar contract bids across multiple delivery functions.</w:t>
      </w:r>
    </w:p>
    <w:p>
      <w:pPr>
        <w:pStyle w:val="ListBullet"/>
        <w:spacing w:before="0" w:after="60" w:line="230" w:lineRule="exact"/>
        <w:ind w:left="283" w:hanging="198"/>
      </w:pPr>
      <w:r>
        <w:rPr>
          <w:rFonts w:ascii="Calibri" w:hAnsi="Calibri"/>
          <w:b w:val="0"/>
          <w:i w:val="0"/>
          <w:color w:val="000000"/>
          <w:sz w:val="20"/>
        </w:rPr>
        <w:t>Analysed actual vs estimated costs across the full contract lifecycle, identifying variance drivers and feeding findings into continuous improvement of cost model accuracy — directly supporting the organisation's commercial performance.</w:t>
      </w:r>
    </w:p>
    <w:p>
      <w:pPr>
        <w:pStyle w:val="ListBullet"/>
        <w:spacing w:before="0" w:after="60" w:line="230" w:lineRule="exact"/>
        <w:ind w:left="283" w:hanging="198"/>
      </w:pPr>
      <w:r>
        <w:rPr>
          <w:rFonts w:ascii="Calibri" w:hAnsi="Calibri"/>
          <w:b w:val="0"/>
          <w:i w:val="0"/>
          <w:color w:val="000000"/>
          <w:sz w:val="20"/>
        </w:rPr>
        <w:t>Led development of configurable cost modelling tools in Excel VBA, building scalable, structured data frameworks that reduced manual effort by 30% and enabled faster, repeatable cost estimation across the team.</w:t>
      </w:r>
    </w:p>
    <w:p>
      <w:pPr>
        <w:pStyle w:val="ListBullet"/>
        <w:spacing w:before="0" w:after="60" w:line="230" w:lineRule="exact"/>
        <w:ind w:left="283" w:hanging="198"/>
      </w:pPr>
      <w:r>
        <w:rPr>
          <w:rFonts w:ascii="Calibri" w:hAnsi="Calibri"/>
          <w:b w:val="0"/>
          <w:i w:val="0"/>
          <w:color w:val="000000"/>
          <w:sz w:val="20"/>
        </w:rPr>
        <w:t>Worked cross-functionally with engineering, operations, commercial and finance stakeholders to align cost assumptions with delivery reality, bridging the gap between technical detail and commercial outputs.</w:t>
      </w:r>
    </w:p>
    <w:p>
      <w:pPr>
        <w:pStyle w:val="ListBullet"/>
        <w:spacing w:before="0" w:after="60" w:line="230" w:lineRule="exact"/>
        <w:ind w:left="283" w:hanging="198"/>
      </w:pPr>
      <w:r>
        <w:rPr>
          <w:rFonts w:ascii="Calibri" w:hAnsi="Calibri"/>
          <w:b w:val="0"/>
          <w:i w:val="0"/>
          <w:color w:val="000000"/>
          <w:sz w:val="20"/>
        </w:rPr>
        <w:t>Supported and guided junior analysts within the pricing team, reviewing outputs for accuracy, quality-controlling data integrity, and coaching team members to improve their costing and financial modelling capability.</w:t>
      </w:r>
    </w:p>
    <w:p>
      <w:pPr>
        <w:spacing w:before="80" w:after="20" w:line="240" w:lineRule="exact"/>
        <w:tabs>
          <w:tab w:val="right" w:pos="9780"/>
        </w:tabs>
      </w:pPr>
      <w:r>
        <w:rPr>
          <w:rFonts w:ascii="Calibri" w:hAnsi="Calibri"/>
          <w:b/>
          <w:i w:val="0"/>
          <w:color w:val="000000"/>
          <w:sz w:val="21"/>
        </w:rPr>
        <w:t>Finance Assistant</w:t>
      </w:r>
      <w:r>
        <w:rPr>
          <w:rFonts w:ascii="Calibri" w:hAnsi="Calibri"/>
          <w:b w:val="0"/>
          <w:i w:val="0"/>
          <w:color w:val="000000"/>
          <w:sz w:val="21"/>
        </w:rPr>
        <w:t xml:space="preserve"> | SMS LLP (Mtandt Group), Chennai, India</w:t>
      </w:r>
      <w:r>
        <w:rPr>
          <w:rFonts w:ascii="Calibri" w:hAnsi="Calibri"/>
          <w:b w:val="0"/>
          <w:i/>
          <w:color w:val="000000"/>
          <w:sz w:val="21"/>
        </w:rPr>
        <w:tab/>
        <w:t>Feb 2022 – May 2023</w:t>
      </w:r>
    </w:p>
    <w:p>
      <w:pPr>
        <w:pStyle w:val="ListBullet"/>
        <w:spacing w:before="0" w:after="60" w:line="230" w:lineRule="exact"/>
        <w:ind w:left="283" w:hanging="198"/>
      </w:pPr>
      <w:r>
        <w:rPr>
          <w:rFonts w:ascii="Calibri" w:hAnsi="Calibri"/>
          <w:b w:val="0"/>
          <w:i w:val="0"/>
          <w:color w:val="000000"/>
          <w:sz w:val="20"/>
        </w:rPr>
        <w:t>Conducted variance analysis comparing budgeted vs actual costs and revenues, identifying deviations and providing recommendations that supported management decision-making and improved cost accuracy.</w:t>
      </w:r>
    </w:p>
    <w:p>
      <w:pPr>
        <w:pStyle w:val="ListBullet"/>
        <w:spacing w:before="0" w:after="60" w:line="230" w:lineRule="exact"/>
        <w:ind w:left="283" w:hanging="198"/>
      </w:pPr>
      <w:r>
        <w:rPr>
          <w:rFonts w:ascii="Calibri" w:hAnsi="Calibri"/>
          <w:b w:val="0"/>
          <w:i w:val="0"/>
          <w:color w:val="000000"/>
          <w:sz w:val="20"/>
        </w:rPr>
        <w:t>Performed inventory and asset-performance analysis, producing structured costing outputs that reduced potential financial losses by 12% through targeted management provisions.</w:t>
      </w:r>
    </w:p>
    <w:p>
      <w:pPr>
        <w:pStyle w:val="ListBullet"/>
        <w:spacing w:before="0" w:after="60" w:line="230" w:lineRule="exact"/>
        <w:ind w:left="283" w:hanging="198"/>
      </w:pPr>
      <w:r>
        <w:rPr>
          <w:rFonts w:ascii="Calibri" w:hAnsi="Calibri"/>
          <w:b w:val="0"/>
          <w:i w:val="0"/>
          <w:color w:val="000000"/>
          <w:sz w:val="20"/>
        </w:rPr>
        <w:t>Supported the budgeting and forecasting cycle by consolidating large financial datasets into concise management reporting for non-financial stakeholders.</w:t>
      </w:r>
    </w:p>
    <w:p>
      <w:pPr>
        <w:spacing w:before="140" w:after="60" w:line="240" w:lineRule="exact"/>
        <w:pBdr>
          <w:bottom w:val="single" w:sz="4" w:space="1" w:color="000000"/>
        </w:pBdr>
      </w:pPr>
      <w:r>
        <w:rPr>
          <w:rFonts w:ascii="Calibri" w:hAnsi="Calibri"/>
          <w:b/>
          <w:i w:val="0"/>
          <w:color w:val="000000"/>
          <w:sz w:val="22"/>
        </w:rPr>
        <w:t>COSTING &amp; DATA MODELLING PROJECTS</w:t>
      </w:r>
    </w:p>
    <w:p>
      <w:pPr>
        <w:spacing w:before="80" w:after="20" w:line="240" w:lineRule="exact"/>
      </w:pPr>
      <w:r>
        <w:rPr>
          <w:rFonts w:ascii="Calibri" w:hAnsi="Calibri"/>
          <w:b/>
          <w:i w:val="0"/>
          <w:color w:val="000000"/>
          <w:sz w:val="21"/>
        </w:rPr>
        <w:t>Health Insurance Pricing Model</w:t>
      </w:r>
      <w:r>
        <w:rPr>
          <w:rFonts w:ascii="Calibri" w:hAnsi="Calibri"/>
          <w:b w:val="0"/>
          <w:i w:val="0"/>
          <w:color w:val="000000"/>
          <w:sz w:val="20"/>
        </w:rPr>
        <w:t xml:space="preserve">   |   Python, Bottom-Up Cost Modelling, Regression Analysis   |   </w:t>
      </w:r>
      <w:hyperlink r:id="rId12">
        <w:r>
          <w:rPr>
            <w:rStyle w:val="Hyperlink"/>
          </w:rPr>
          <w:t xml:space="preserve">github.com/Jeevajk21/Health-Insurance-Pricing-Model</w:t>
        </w:r>
      </w:hyperlink>
      <w:r>
        <w:rPr>
          <w:color w:val="000000"/>
        </w:rPr>
      </w:r>
    </w:p>
    <w:p>
      <w:pPr>
        <w:pStyle w:val="ListBullet"/>
        <w:spacing w:before="0" w:after="60" w:line="230" w:lineRule="exact"/>
        <w:ind w:left="283" w:hanging="198"/>
      </w:pPr>
      <w:r>
        <w:rPr>
          <w:rFonts w:ascii="Calibri" w:hAnsi="Calibri"/>
          <w:b w:val="0"/>
          <w:i w:val="0"/>
          <w:color w:val="000000"/>
          <w:sz w:val="20"/>
        </w:rPr>
        <w:t>Built a bottom-up pricing model in Python that disaggregates total cost into individual risk-rated components (age, BMI, region, smoking status), structuring outputs into a configurable cost model — directly analogous to breaking a manufacturing BOM into its component cost elements to derive an accurate product cost.</w:t>
      </w:r>
    </w:p>
    <w:p>
      <w:pPr>
        <w:pStyle w:val="ListBullet"/>
        <w:spacing w:before="0" w:after="60" w:line="230" w:lineRule="exact"/>
        <w:ind w:left="283" w:hanging="198"/>
      </w:pPr>
      <w:r>
        <w:rPr>
          <w:rFonts w:ascii="Calibri" w:hAnsi="Calibri"/>
          <w:b w:val="0"/>
          <w:i w:val="0"/>
          <w:color w:val="000000"/>
          <w:sz w:val="20"/>
        </w:rPr>
        <w:t>Engineered structured data pipelines to ingest, clean and process large datasets, producing reliable costing outputs with built-in data integrity checks — mirroring the data management and quality control processes required when working with ERP/production data flows.</w:t>
      </w:r>
    </w:p>
    <w:p>
      <w:pPr>
        <w:pStyle w:val="ListBullet"/>
        <w:spacing w:before="0" w:after="60" w:line="230" w:lineRule="exact"/>
        <w:ind w:left="283" w:hanging="198"/>
      </w:pPr>
      <w:r>
        <w:rPr>
          <w:rFonts w:ascii="Calibri" w:hAnsi="Calibri"/>
          <w:b w:val="0"/>
          <w:i w:val="0"/>
          <w:color w:val="000000"/>
          <w:sz w:val="20"/>
        </w:rPr>
        <w:t>Validated model outputs by comparing predicted vs actual premium costs, iterating on model assumptions to close the gap — replicating actual-vs-estimated cost analysis and the continuous improvement cycle central to a Costing &amp; Estimating function.</w:t>
      </w:r>
    </w:p>
    <w:p>
      <w:pPr>
        <w:spacing w:before="80" w:after="20" w:line="240" w:lineRule="exact"/>
      </w:pPr>
      <w:r>
        <w:rPr>
          <w:rFonts w:ascii="Calibri" w:hAnsi="Calibri"/>
          <w:b/>
          <w:i w:val="0"/>
          <w:color w:val="000000"/>
          <w:sz w:val="21"/>
        </w:rPr>
        <w:t>Agentic AI DCF Valuation — Spotify Interactive Cost &amp; Revenue Dashboard</w:t>
      </w:r>
      <w:r>
        <w:rPr>
          <w:rFonts w:ascii="Calibri" w:hAnsi="Calibri"/>
          <w:b w:val="0"/>
          <w:i w:val="0"/>
          <w:color w:val="000000"/>
          <w:sz w:val="20"/>
        </w:rPr>
        <w:t xml:space="preserve">   |   Python, Configurable Financial Modelling, Scenario Analysis   |   </w:t>
      </w:r>
      <w:hyperlink r:id="rId13">
        <w:r>
          <w:rPr>
            <w:rStyle w:val="Hyperlink"/>
          </w:rPr>
          <w:t xml:space="preserve">github.com/Jeevajk21/Agentic-AI-DCF-Valuation</w:t>
        </w:r>
      </w:hyperlink>
      <w:r>
        <w:rPr>
          <w:color w:val="000000"/>
        </w:rPr>
      </w:r>
    </w:p>
    <w:p>
      <w:pPr>
        <w:pStyle w:val="ListBullet"/>
        <w:spacing w:before="0" w:after="60" w:line="230" w:lineRule="exact"/>
        <w:ind w:left="283" w:hanging="198"/>
      </w:pPr>
      <w:r>
        <w:rPr>
          <w:rFonts w:ascii="Calibri" w:hAnsi="Calibri"/>
          <w:b w:val="0"/>
          <w:i w:val="0"/>
          <w:color w:val="000000"/>
          <w:sz w:val="20"/>
        </w:rPr>
        <w:t>Developed a fully configurable, interactive financial model in Python that dynamically recalculates cost and revenue outputs based on user-defined assumptions — demonstrating the ability to build digital, scalable costing tools that allow rapid scenario testing without manual rework.</w:t>
      </w:r>
    </w:p>
    <w:p>
      <w:pPr>
        <w:pStyle w:val="ListBullet"/>
        <w:spacing w:before="0" w:after="60" w:line="230" w:lineRule="exact"/>
        <w:ind w:left="283" w:hanging="198"/>
      </w:pPr>
      <w:r>
        <w:rPr>
          <w:rFonts w:ascii="Calibri" w:hAnsi="Calibri"/>
          <w:b w:val="0"/>
          <w:i w:val="0"/>
          <w:color w:val="000000"/>
          <w:sz w:val="20"/>
        </w:rPr>
        <w:t>Structured the model to ingest live financial data and translate it into layered cost and margin outputs across multiple business segments, showcasing the ability to work with large, structured datasets and produce commercially meaningful costing outputs.</w:t>
      </w:r>
    </w:p>
    <w:p>
      <w:pPr>
        <w:pStyle w:val="ListBullet"/>
        <w:spacing w:before="0" w:after="60" w:line="230" w:lineRule="exact"/>
        <w:ind w:left="283" w:hanging="198"/>
      </w:pPr>
      <w:r>
        <w:rPr>
          <w:rFonts w:ascii="Calibri" w:hAnsi="Calibri"/>
          <w:b w:val="0"/>
          <w:i w:val="0"/>
          <w:color w:val="000000"/>
          <w:sz w:val="20"/>
        </w:rPr>
        <w:t>Designed the tool to support bid and investment decisions by quantifying the commercial impact of different cost and pricing assumptions — mirroring the role's requirement to ensure project bids are technically robust and commercially sound.</w:t>
      </w:r>
    </w:p>
    <w:p>
      <w:pPr>
        <w:spacing w:before="140" w:after="60" w:line="240" w:lineRule="exact"/>
        <w:pBdr>
          <w:bottom w:val="single" w:sz="4" w:space="1" w:color="000000"/>
        </w:pBdr>
      </w:pPr>
      <w:r>
        <w:rPr>
          <w:rFonts w:ascii="Calibri" w:hAnsi="Calibri"/>
          <w:b/>
          <w:i w:val="0"/>
          <w:color w:val="000000"/>
          <w:sz w:val="22"/>
        </w:rPr>
        <w:t>SKILLS &amp; INTERESTS</w:t>
      </w:r>
    </w:p>
    <w:p>
      <w:pPr>
        <w:spacing w:before="0" w:after="60" w:line="230" w:lineRule="exact"/>
      </w:pPr>
      <w:r>
        <w:rPr>
          <w:rFonts w:ascii="Calibri" w:hAnsi="Calibri"/>
          <w:b/>
          <w:i w:val="0"/>
          <w:color w:val="000000"/>
          <w:sz w:val="20"/>
        </w:rPr>
        <w:t xml:space="preserve">Technical Tools: </w:t>
      </w:r>
      <w:r>
        <w:rPr>
          <w:rFonts w:ascii="Calibri" w:hAnsi="Calibri"/>
          <w:b w:val="0"/>
          <w:i w:val="0"/>
          <w:color w:val="000000"/>
          <w:sz w:val="20"/>
        </w:rPr>
        <w:t>Python (pandas, scikit-learn, regression, data pipelines), R (statistical modelling), SQL, Advanced Excel (VBA, Power Query, configurable cost models), Bloomberg Terminal, PowerPoint</w:t>
      </w:r>
    </w:p>
    <w:p>
      <w:pPr>
        <w:spacing w:before="0" w:after="60" w:line="230" w:lineRule="exact"/>
      </w:pPr>
      <w:r>
        <w:rPr>
          <w:rFonts w:ascii="Calibri" w:hAnsi="Calibri"/>
          <w:b/>
          <w:i w:val="0"/>
          <w:color w:val="000000"/>
          <w:sz w:val="20"/>
        </w:rPr>
        <w:t xml:space="preserve">Costing &amp; Analytical Competencies: </w:t>
      </w:r>
      <w:r>
        <w:rPr>
          <w:rFonts w:ascii="Calibri" w:hAnsi="Calibri"/>
          <w:b w:val="0"/>
          <w:i w:val="0"/>
          <w:color w:val="000000"/>
          <w:sz w:val="20"/>
        </w:rPr>
        <w:t>Bottom-Up Cost Modelling, BOM &amp; Routing Cost Translation, Actual vs Estimated Variance Analysis, Configurable Costing Tool Development, Scenario &amp; Sensitivity Analysis, Data Integrity &amp; Quality Control, Financial Forecasting</w:t>
      </w:r>
    </w:p>
    <w:p>
      <w:pPr>
        <w:spacing w:before="0" w:after="60" w:line="230" w:lineRule="exact"/>
      </w:pPr>
      <w:r>
        <w:rPr>
          <w:rFonts w:ascii="Calibri" w:hAnsi="Calibri"/>
          <w:b/>
          <w:i w:val="0"/>
          <w:color w:val="000000"/>
          <w:sz w:val="20"/>
        </w:rPr>
        <w:t xml:space="preserve">Certifications: </w:t>
      </w:r>
      <w:r>
        <w:rPr>
          <w:rFonts w:ascii="Calibri" w:hAnsi="Calibri"/>
          <w:b w:val="0"/>
          <w:i w:val="0"/>
          <w:color w:val="000000"/>
          <w:sz w:val="20"/>
        </w:rPr>
        <w:t>CMA Intermediate, Institute of Cost Accountants of India (ICAI)</w:t>
      </w:r>
    </w:p>
    <w:p>
      <w:pPr>
        <w:spacing w:before="0" w:after="60" w:line="230" w:lineRule="exact"/>
      </w:pPr>
      <w:r>
        <w:rPr>
          <w:rFonts w:ascii="Calibri" w:hAnsi="Calibri"/>
          <w:b/>
          <w:i w:val="0"/>
          <w:color w:val="000000"/>
          <w:sz w:val="20"/>
        </w:rPr>
        <w:t xml:space="preserve">Interests: </w:t>
      </w:r>
      <w:r>
        <w:rPr>
          <w:rFonts w:ascii="Calibri" w:hAnsi="Calibri"/>
          <w:b w:val="0"/>
          <w:i w:val="0"/>
          <w:color w:val="000000"/>
          <w:sz w:val="20"/>
        </w:rPr>
        <w:t>Chess, Painting</w:t>
      </w:r>
    </w:p>
    <w:sectPr w:rsidR="00FC693F" w:rsidRPr="0006063C" w:rsidSect="00034616">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jeevajk2112@gmail.com" TargetMode="External"/><Relationship Id="rId10" Type="http://schemas.openxmlformats.org/officeDocument/2006/relationships/hyperlink" Target="https://linkedin.com/in/jeevakumar-j" TargetMode="External"/><Relationship Id="rId11" Type="http://schemas.openxmlformats.org/officeDocument/2006/relationships/hyperlink" Target="https://github.com/Jeevajk21" TargetMode="External"/><Relationship Id="rId12" Type="http://schemas.openxmlformats.org/officeDocument/2006/relationships/hyperlink" Target="https://github.com/Jeevajk21/Health-Insurance-Pricing-Model" TargetMode="External"/><Relationship Id="rId13" Type="http://schemas.openxmlformats.org/officeDocument/2006/relationships/hyperlink" Target="https://github.com/Jeevajk21/Agentic-AI-DCF-Val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