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2533" w14:textId="77777777" w:rsidR="00CC1F52" w:rsidRPr="00896B2D" w:rsidRDefault="0028307D">
      <w:pPr>
        <w:spacing w:after="60"/>
        <w:jc w:val="center"/>
        <w:rPr>
          <w:sz w:val="36"/>
          <w:szCs w:val="36"/>
        </w:rPr>
      </w:pPr>
      <w:r w:rsidRPr="00896B2D">
        <w:rPr>
          <w:b/>
          <w:bCs/>
          <w:color w:val="1A5276"/>
          <w:sz w:val="36"/>
          <w:szCs w:val="36"/>
        </w:rPr>
        <w:t>JEEVAKUMAR JAYACHANDRAN</w:t>
      </w:r>
    </w:p>
    <w:p w14:paraId="56ABD584" w14:textId="77777777" w:rsidR="00CC1F52" w:rsidRDefault="0028307D">
      <w:pPr>
        <w:spacing w:after="40"/>
        <w:jc w:val="center"/>
      </w:pPr>
      <w:r>
        <w:rPr>
          <w:color w:val="555555"/>
        </w:rPr>
        <w:t>MSc Finance Candidate  |  Investment Management &amp; Financial Analysis</w:t>
      </w:r>
    </w:p>
    <w:p w14:paraId="192B0771" w14:textId="2FCEE690" w:rsidR="00CC1F52" w:rsidRDefault="0028307D">
      <w:pPr>
        <w:spacing w:after="200"/>
        <w:jc w:val="center"/>
      </w:pPr>
      <w:r>
        <w:rPr>
          <w:color w:val="555555"/>
          <w:sz w:val="18"/>
          <w:szCs w:val="18"/>
        </w:rPr>
        <w:t xml:space="preserve">Lancaster, UK  |  </w:t>
      </w:r>
      <w:hyperlink r:id="rId5" w:history="1">
        <w:r w:rsidR="00C267E6" w:rsidRPr="008A3396">
          <w:rPr>
            <w:rStyle w:val="Hyperlink"/>
            <w:sz w:val="18"/>
            <w:szCs w:val="18"/>
          </w:rPr>
          <w:t xml:space="preserve">jeevajk2112@gmail.com </w:t>
        </w:r>
      </w:hyperlink>
      <w:r w:rsidR="00C267E6">
        <w:rPr>
          <w:color w:val="555555"/>
          <w:sz w:val="18"/>
          <w:szCs w:val="18"/>
        </w:rPr>
        <w:t xml:space="preserve"> </w:t>
      </w:r>
      <w:r>
        <w:rPr>
          <w:color w:val="555555"/>
          <w:sz w:val="18"/>
          <w:szCs w:val="18"/>
        </w:rPr>
        <w:t xml:space="preserve">|  +44 7466 480480  |  </w:t>
      </w:r>
      <w:hyperlink r:id="rId6" w:history="1">
        <w:r w:rsidR="00C267E6">
          <w:rPr>
            <w:rStyle w:val="Hyperlink"/>
            <w:sz w:val="18"/>
            <w:szCs w:val="18"/>
          </w:rPr>
          <w:t>https://www.linkedin.com/in/jeevakumar-j/</w:t>
        </w:r>
      </w:hyperlink>
    </w:p>
    <w:p w14:paraId="22C92F67" w14:textId="77777777" w:rsidR="00CC1F52" w:rsidRDefault="0028307D">
      <w:pPr>
        <w:pBdr>
          <w:bottom w:val="single" w:sz="8" w:space="4" w:color="1A5276"/>
        </w:pBdr>
        <w:spacing w:before="240" w:after="80"/>
      </w:pPr>
      <w:r>
        <w:rPr>
          <w:b/>
          <w:bCs/>
          <w:color w:val="1A5276"/>
          <w:sz w:val="22"/>
          <w:szCs w:val="22"/>
        </w:rPr>
        <w:t>PROFILE</w:t>
      </w:r>
    </w:p>
    <w:p w14:paraId="1B2C427C" w14:textId="77777777" w:rsidR="00CC1F52" w:rsidRDefault="0028307D">
      <w:pPr>
        <w:spacing w:before="80" w:after="120"/>
      </w:pPr>
      <w:r>
        <w:rPr>
          <w:sz w:val="18"/>
          <w:szCs w:val="18"/>
        </w:rPr>
        <w:t>Ambitious MSc Finance candidate at Lancaster University with 3+ years of hands-on financial analysis experience at Accenture. Passionate about investment management, with practical exposure to equity valuation, financial modelling, and portfolio theory through both academic projects and professional work. Strong analytical foundation combining commercial pricing strategy, profitability modelling, and capital markets research. Eager to deepen understanding of asset management through the Morgan Stanley Entrepreneurs in Action Investment Management Insight Programme.</w:t>
      </w:r>
    </w:p>
    <w:p w14:paraId="0BFF4E24" w14:textId="77777777" w:rsidR="00CC1F52" w:rsidRDefault="0028307D">
      <w:pPr>
        <w:pBdr>
          <w:bottom w:val="single" w:sz="8" w:space="4" w:color="1A5276"/>
        </w:pBdr>
        <w:spacing w:before="240" w:after="80"/>
      </w:pPr>
      <w:r>
        <w:rPr>
          <w:b/>
          <w:bCs/>
          <w:color w:val="1A5276"/>
          <w:sz w:val="22"/>
          <w:szCs w:val="22"/>
        </w:rPr>
        <w:t>EDUCATION</w:t>
      </w:r>
    </w:p>
    <w:p w14:paraId="5C656C4E" w14:textId="36BDEB64" w:rsidR="00CC1F52" w:rsidRDefault="0028307D">
      <w:pPr>
        <w:tabs>
          <w:tab w:val="right" w:pos="9026"/>
        </w:tabs>
        <w:spacing w:before="120" w:after="20"/>
      </w:pPr>
      <w:r>
        <w:rPr>
          <w:b/>
          <w:bCs/>
          <w:sz w:val="19"/>
          <w:szCs w:val="19"/>
        </w:rPr>
        <w:t>MSc Finance (1st Class Expected)</w:t>
      </w:r>
      <w:r>
        <w:rPr>
          <w:i/>
          <w:iCs/>
          <w:color w:val="555555"/>
          <w:sz w:val="18"/>
          <w:szCs w:val="18"/>
        </w:rPr>
        <w:tab/>
      </w:r>
      <w:r w:rsidR="00C267E6">
        <w:rPr>
          <w:i/>
          <w:iCs/>
          <w:color w:val="555555"/>
          <w:sz w:val="18"/>
          <w:szCs w:val="18"/>
        </w:rPr>
        <w:t xml:space="preserve">              </w:t>
      </w:r>
      <w:r>
        <w:rPr>
          <w:i/>
          <w:iCs/>
          <w:color w:val="555555"/>
          <w:sz w:val="18"/>
          <w:szCs w:val="18"/>
        </w:rPr>
        <w:t>Oct 2025 – Present</w:t>
      </w:r>
    </w:p>
    <w:p w14:paraId="39F8D323" w14:textId="77777777" w:rsidR="00CC1F52" w:rsidRDefault="0028307D">
      <w:pPr>
        <w:spacing w:after="20"/>
      </w:pPr>
      <w:r>
        <w:rPr>
          <w:color w:val="555555"/>
          <w:sz w:val="18"/>
          <w:szCs w:val="18"/>
        </w:rPr>
        <w:t>Lancaster University Management School  |  Lancaster, UK</w:t>
      </w:r>
    </w:p>
    <w:p w14:paraId="19C8C7A6" w14:textId="77777777" w:rsidR="00CC1F52" w:rsidRDefault="0028307D">
      <w:pPr>
        <w:spacing w:before="40" w:after="60"/>
      </w:pPr>
      <w:r>
        <w:rPr>
          <w:i/>
          <w:iCs/>
          <w:color w:val="555555"/>
          <w:sz w:val="18"/>
          <w:szCs w:val="18"/>
        </w:rPr>
        <w:t>Relevant Modules: Advanced Investment Management, Financial Modelling &amp; Valuation, Python for Data Analysis, Financial Databases (Bloomberg Terminal)</w:t>
      </w:r>
    </w:p>
    <w:p w14:paraId="469FEE4A" w14:textId="341061E7" w:rsidR="00CC1F52" w:rsidRDefault="0028307D">
      <w:pPr>
        <w:tabs>
          <w:tab w:val="right" w:pos="9026"/>
        </w:tabs>
        <w:spacing w:before="120" w:after="20"/>
      </w:pPr>
      <w:r>
        <w:rPr>
          <w:b/>
          <w:bCs/>
          <w:sz w:val="19"/>
          <w:szCs w:val="19"/>
        </w:rPr>
        <w:t>CMA Intermediate</w:t>
      </w:r>
      <w:r>
        <w:rPr>
          <w:i/>
          <w:iCs/>
          <w:color w:val="555555"/>
          <w:sz w:val="18"/>
          <w:szCs w:val="18"/>
        </w:rPr>
        <w:tab/>
      </w:r>
      <w:r w:rsidR="00C267E6">
        <w:rPr>
          <w:i/>
          <w:iCs/>
          <w:color w:val="555555"/>
          <w:sz w:val="18"/>
          <w:szCs w:val="18"/>
        </w:rPr>
        <w:t xml:space="preserve">   </w:t>
      </w:r>
      <w:r>
        <w:rPr>
          <w:i/>
          <w:iCs/>
          <w:color w:val="555555"/>
          <w:sz w:val="18"/>
          <w:szCs w:val="18"/>
        </w:rPr>
        <w:t>Apr 2019 – Dec 2019</w:t>
      </w:r>
    </w:p>
    <w:p w14:paraId="00857590" w14:textId="77777777" w:rsidR="00CC1F52" w:rsidRDefault="0028307D">
      <w:pPr>
        <w:spacing w:after="20"/>
      </w:pPr>
      <w:r>
        <w:rPr>
          <w:color w:val="555555"/>
          <w:sz w:val="18"/>
          <w:szCs w:val="18"/>
        </w:rPr>
        <w:t>Institute of Cost Accountants of India  |  Chennai, India</w:t>
      </w:r>
    </w:p>
    <w:p w14:paraId="1AFBBF46" w14:textId="77777777" w:rsidR="00CC1F52" w:rsidRDefault="0028307D">
      <w:pPr>
        <w:tabs>
          <w:tab w:val="right" w:pos="9026"/>
        </w:tabs>
        <w:spacing w:before="120" w:after="20"/>
      </w:pPr>
      <w:r>
        <w:rPr>
          <w:b/>
          <w:bCs/>
          <w:sz w:val="19"/>
          <w:szCs w:val="19"/>
        </w:rPr>
        <w:t>Master of Commerce (M.Com)  |  82%</w:t>
      </w:r>
      <w:r>
        <w:rPr>
          <w:i/>
          <w:iCs/>
          <w:color w:val="555555"/>
          <w:sz w:val="18"/>
          <w:szCs w:val="18"/>
        </w:rPr>
        <w:tab/>
        <w:t>Jun 2019 – Apr 2021</w:t>
      </w:r>
    </w:p>
    <w:p w14:paraId="46E5AF7B" w14:textId="77777777" w:rsidR="00CC1F52" w:rsidRDefault="0028307D">
      <w:pPr>
        <w:spacing w:after="20"/>
      </w:pPr>
      <w:r>
        <w:rPr>
          <w:color w:val="555555"/>
          <w:sz w:val="18"/>
          <w:szCs w:val="18"/>
        </w:rPr>
        <w:t>KCS College of Arts and Science  |  Chennai, India</w:t>
      </w:r>
    </w:p>
    <w:p w14:paraId="7489D8DC" w14:textId="77777777" w:rsidR="00CC1F52" w:rsidRDefault="0028307D">
      <w:pPr>
        <w:tabs>
          <w:tab w:val="right" w:pos="9026"/>
        </w:tabs>
        <w:spacing w:before="120" w:after="20"/>
      </w:pPr>
      <w:r>
        <w:rPr>
          <w:b/>
          <w:bCs/>
          <w:sz w:val="19"/>
          <w:szCs w:val="19"/>
        </w:rPr>
        <w:t>Bachelor of Commerce (B.Com)  |  72%</w:t>
      </w:r>
      <w:r>
        <w:rPr>
          <w:i/>
          <w:iCs/>
          <w:color w:val="555555"/>
          <w:sz w:val="18"/>
          <w:szCs w:val="18"/>
        </w:rPr>
        <w:tab/>
        <w:t>Jun 2016 – Apr 2019</w:t>
      </w:r>
    </w:p>
    <w:p w14:paraId="675169E7" w14:textId="77777777" w:rsidR="00CC1F52" w:rsidRDefault="0028307D">
      <w:pPr>
        <w:spacing w:after="20"/>
      </w:pPr>
      <w:r>
        <w:rPr>
          <w:color w:val="555555"/>
          <w:sz w:val="18"/>
          <w:szCs w:val="18"/>
        </w:rPr>
        <w:t>KCS College of Arts and Science  |  Chennai, India</w:t>
      </w:r>
    </w:p>
    <w:p w14:paraId="3958B808" w14:textId="77777777" w:rsidR="00CC1F52" w:rsidRDefault="0028307D">
      <w:pPr>
        <w:pBdr>
          <w:bottom w:val="single" w:sz="8" w:space="4" w:color="1A5276"/>
        </w:pBdr>
        <w:spacing w:before="240" w:after="80"/>
      </w:pPr>
      <w:r>
        <w:rPr>
          <w:b/>
          <w:bCs/>
          <w:color w:val="1A5276"/>
          <w:sz w:val="22"/>
          <w:szCs w:val="22"/>
        </w:rPr>
        <w:t>INVESTMENT &amp; FINANCIAL ANALYSIS PROJECTS</w:t>
      </w:r>
    </w:p>
    <w:p w14:paraId="1B98E114" w14:textId="77777777" w:rsidR="00CC1F52" w:rsidRDefault="0028307D">
      <w:pPr>
        <w:spacing w:before="120" w:after="40"/>
      </w:pPr>
      <w:r>
        <w:rPr>
          <w:b/>
          <w:bCs/>
          <w:sz w:val="19"/>
          <w:szCs w:val="19"/>
        </w:rPr>
        <w:t>Equity Valuation &amp; Risk Analysis – FTSE 350 Portfolio</w:t>
      </w:r>
    </w:p>
    <w:p w14:paraId="52FF6B65" w14:textId="77777777" w:rsidR="00CC1F52" w:rsidRDefault="0028307D">
      <w:pPr>
        <w:pStyle w:val="ListParagraph"/>
        <w:numPr>
          <w:ilvl w:val="0"/>
          <w:numId w:val="2"/>
        </w:numPr>
        <w:spacing w:before="40" w:after="40"/>
      </w:pPr>
      <w:r>
        <w:rPr>
          <w:sz w:val="18"/>
          <w:szCs w:val="18"/>
        </w:rPr>
        <w:t>Applied CAPM to 10 FTSE 350 companies including HSBC, Barclays, Glencore and Unilever to calculate beta and risk-adjusted expected returns.</w:t>
      </w:r>
    </w:p>
    <w:p w14:paraId="2BC7E533" w14:textId="77777777" w:rsidR="00CC1F52" w:rsidRDefault="0028307D">
      <w:pPr>
        <w:pStyle w:val="ListParagraph"/>
        <w:numPr>
          <w:ilvl w:val="0"/>
          <w:numId w:val="2"/>
        </w:numPr>
        <w:spacing w:before="40" w:after="40"/>
      </w:pPr>
      <w:r>
        <w:rPr>
          <w:sz w:val="18"/>
          <w:szCs w:val="18"/>
        </w:rPr>
        <w:t>Identified HSBC and Barclays as undervalued (Buy/Hold) and Glencore and Unilever as overvalued (Sell) based on systematic risk and market pricing analysis.</w:t>
      </w:r>
    </w:p>
    <w:p w14:paraId="2EB09165" w14:textId="77777777" w:rsidR="00CC1F52" w:rsidRDefault="0028307D">
      <w:pPr>
        <w:pStyle w:val="ListParagraph"/>
        <w:numPr>
          <w:ilvl w:val="0"/>
          <w:numId w:val="2"/>
        </w:numPr>
        <w:spacing w:before="40" w:after="40"/>
      </w:pPr>
      <w:r>
        <w:rPr>
          <w:sz w:val="18"/>
          <w:szCs w:val="18"/>
        </w:rPr>
        <w:t>Developed investment rationale grounded in fundamental analysis and return-risk trade-off frameworks.</w:t>
      </w:r>
    </w:p>
    <w:p w14:paraId="46C6AE8D" w14:textId="77777777" w:rsidR="00CC1F52" w:rsidRDefault="0028307D">
      <w:pPr>
        <w:spacing w:before="120" w:after="40"/>
      </w:pPr>
      <w:r>
        <w:rPr>
          <w:b/>
          <w:bCs/>
          <w:sz w:val="19"/>
          <w:szCs w:val="19"/>
        </w:rPr>
        <w:t>Unilever PLC – Intrinsic Valuation via FCFF DCF Model</w:t>
      </w:r>
    </w:p>
    <w:p w14:paraId="4F232F6A" w14:textId="77777777" w:rsidR="00CC1F52" w:rsidRDefault="0028307D">
      <w:pPr>
        <w:pStyle w:val="ListParagraph"/>
        <w:numPr>
          <w:ilvl w:val="0"/>
          <w:numId w:val="2"/>
        </w:numPr>
        <w:spacing w:before="40" w:after="40"/>
      </w:pPr>
      <w:r>
        <w:rPr>
          <w:sz w:val="18"/>
          <w:szCs w:val="18"/>
        </w:rPr>
        <w:t>Built a full FCFF discounted cash flow model to determine Unilever's intrinsic equity value.</w:t>
      </w:r>
    </w:p>
    <w:p w14:paraId="13DEC755" w14:textId="77777777" w:rsidR="00CC1F52" w:rsidRDefault="0028307D">
      <w:pPr>
        <w:pStyle w:val="ListParagraph"/>
        <w:numPr>
          <w:ilvl w:val="0"/>
          <w:numId w:val="2"/>
        </w:numPr>
        <w:spacing w:before="40" w:after="40"/>
      </w:pPr>
      <w:r>
        <w:rPr>
          <w:sz w:val="18"/>
          <w:szCs w:val="18"/>
        </w:rPr>
        <w:t>Conducted scenario and sensitivity analysis across WACC, terminal growth rate, and operating margin assumptions to stress-test valuation outputs.</w:t>
      </w:r>
    </w:p>
    <w:p w14:paraId="6491C8D7" w14:textId="77777777" w:rsidR="00CC1F52" w:rsidRDefault="0028307D">
      <w:pPr>
        <w:pStyle w:val="ListParagraph"/>
        <w:numPr>
          <w:ilvl w:val="0"/>
          <w:numId w:val="2"/>
        </w:numPr>
        <w:spacing w:before="40" w:after="40"/>
      </w:pPr>
      <w:r>
        <w:rPr>
          <w:sz w:val="18"/>
          <w:szCs w:val="18"/>
        </w:rPr>
        <w:t>Presented equity research-style conclusions, identifying Unilever as a defensive, cash-generative business with limited near-term upside – driven by macro and discount-rate risk.</w:t>
      </w:r>
    </w:p>
    <w:p w14:paraId="47D2CC74" w14:textId="77777777" w:rsidR="00CC1F52" w:rsidRDefault="0028307D">
      <w:pPr>
        <w:pBdr>
          <w:bottom w:val="single" w:sz="8" w:space="4" w:color="1A5276"/>
        </w:pBdr>
        <w:spacing w:before="240" w:after="80"/>
      </w:pPr>
      <w:r>
        <w:rPr>
          <w:b/>
          <w:bCs/>
          <w:color w:val="1A5276"/>
          <w:sz w:val="22"/>
          <w:szCs w:val="22"/>
        </w:rPr>
        <w:t>PROFESSIONAL EXPERIENCE</w:t>
      </w:r>
    </w:p>
    <w:p w14:paraId="7CFA4AA4" w14:textId="77777777" w:rsidR="00CC1F52" w:rsidRDefault="0028307D">
      <w:pPr>
        <w:tabs>
          <w:tab w:val="right" w:pos="9026"/>
        </w:tabs>
        <w:spacing w:before="160" w:after="40"/>
      </w:pPr>
      <w:r>
        <w:rPr>
          <w:b/>
          <w:bCs/>
        </w:rPr>
        <w:t>Pricing Associate (Financial Analyst)</w:t>
      </w:r>
      <w:r>
        <w:rPr>
          <w:color w:val="555555"/>
          <w:sz w:val="18"/>
          <w:szCs w:val="18"/>
        </w:rPr>
        <w:t xml:space="preserve">  |  Accenture  |  Bengaluru, India</w:t>
      </w:r>
      <w:r>
        <w:rPr>
          <w:i/>
          <w:iCs/>
          <w:color w:val="555555"/>
          <w:sz w:val="18"/>
          <w:szCs w:val="18"/>
        </w:rPr>
        <w:tab/>
        <w:t>Jun 2023 – Sep 2025</w:t>
      </w:r>
    </w:p>
    <w:p w14:paraId="290E60E1" w14:textId="77777777" w:rsidR="00CC1F52" w:rsidRDefault="0028307D">
      <w:pPr>
        <w:pStyle w:val="ListParagraph"/>
        <w:numPr>
          <w:ilvl w:val="0"/>
          <w:numId w:val="2"/>
        </w:numPr>
        <w:spacing w:before="40" w:after="40"/>
      </w:pPr>
      <w:r>
        <w:rPr>
          <w:b/>
          <w:bCs/>
          <w:sz w:val="18"/>
          <w:szCs w:val="18"/>
        </w:rPr>
        <w:t xml:space="preserve">Financial Modelling – </w:t>
      </w:r>
      <w:r>
        <w:rPr>
          <w:sz w:val="18"/>
          <w:szCs w:val="18"/>
        </w:rPr>
        <w:t>Built and maintained complex pricing and profitability models for large outsourcing contracts covering 600+ deliverables, generating revenue and cost forecasts used in deal approval decisions.</w:t>
      </w:r>
    </w:p>
    <w:p w14:paraId="27A74F69" w14:textId="77777777" w:rsidR="00CC1F52" w:rsidRDefault="0028307D">
      <w:pPr>
        <w:pStyle w:val="ListParagraph"/>
        <w:numPr>
          <w:ilvl w:val="0"/>
          <w:numId w:val="2"/>
        </w:numPr>
        <w:spacing w:before="40" w:after="40"/>
      </w:pPr>
      <w:r>
        <w:rPr>
          <w:b/>
          <w:bCs/>
          <w:sz w:val="18"/>
          <w:szCs w:val="18"/>
        </w:rPr>
        <w:t xml:space="preserve">Scenario &amp; Sensitivity Analysis – </w:t>
      </w:r>
      <w:r>
        <w:rPr>
          <w:sz w:val="18"/>
          <w:szCs w:val="18"/>
        </w:rPr>
        <w:t>Performed multi-variable scenario modelling to evaluate financial risks, identify key cost drivers, and quantify margin impacts under varying assumptions.</w:t>
      </w:r>
    </w:p>
    <w:p w14:paraId="589E4769" w14:textId="77777777" w:rsidR="00CC1F52" w:rsidRDefault="0028307D">
      <w:pPr>
        <w:pStyle w:val="ListParagraph"/>
        <w:numPr>
          <w:ilvl w:val="0"/>
          <w:numId w:val="2"/>
        </w:numPr>
        <w:spacing w:before="40" w:after="40"/>
      </w:pPr>
      <w:r>
        <w:rPr>
          <w:b/>
          <w:bCs/>
          <w:sz w:val="18"/>
          <w:szCs w:val="18"/>
        </w:rPr>
        <w:t xml:space="preserve">Commercial Decision Support – </w:t>
      </w:r>
      <w:r>
        <w:rPr>
          <w:sz w:val="18"/>
          <w:szCs w:val="18"/>
        </w:rPr>
        <w:t>Partnered with senior Sales and Finance stakeholders to evaluate deal economics, structure competitive pricing strategies, and maximise long-term profitability.</w:t>
      </w:r>
    </w:p>
    <w:p w14:paraId="4B265FEF" w14:textId="77777777" w:rsidR="00CC1F52" w:rsidRDefault="0028307D">
      <w:pPr>
        <w:pStyle w:val="ListParagraph"/>
        <w:numPr>
          <w:ilvl w:val="0"/>
          <w:numId w:val="2"/>
        </w:numPr>
        <w:spacing w:before="40" w:after="40"/>
      </w:pPr>
      <w:r>
        <w:rPr>
          <w:b/>
          <w:bCs/>
          <w:sz w:val="18"/>
          <w:szCs w:val="18"/>
        </w:rPr>
        <w:t xml:space="preserve">Automation &amp; Dashboards – </w:t>
      </w:r>
      <w:r>
        <w:rPr>
          <w:sz w:val="18"/>
          <w:szCs w:val="18"/>
        </w:rPr>
        <w:t>Designed automated performance dashboards using Excel VBA, cutting manual reporting time by 30% and accelerating financial decision-making cycles.</w:t>
      </w:r>
    </w:p>
    <w:p w14:paraId="1A3B3708" w14:textId="77777777" w:rsidR="00CC1F52" w:rsidRDefault="0028307D">
      <w:pPr>
        <w:pStyle w:val="ListParagraph"/>
        <w:numPr>
          <w:ilvl w:val="0"/>
          <w:numId w:val="2"/>
        </w:numPr>
        <w:spacing w:before="40" w:after="40"/>
      </w:pPr>
      <w:r>
        <w:rPr>
          <w:b/>
          <w:bCs/>
          <w:sz w:val="18"/>
          <w:szCs w:val="18"/>
        </w:rPr>
        <w:t xml:space="preserve">Data Analysis – </w:t>
      </w:r>
      <w:r>
        <w:rPr>
          <w:sz w:val="18"/>
          <w:szCs w:val="18"/>
        </w:rPr>
        <w:t>Analysed large pricing datasets to identify trends, performance gaps and opportunities for margin improvement; conducted variance and trend analysis for business planning.</w:t>
      </w:r>
    </w:p>
    <w:p w14:paraId="6CBAF443" w14:textId="77777777" w:rsidR="00CC1F52" w:rsidRDefault="0028307D">
      <w:pPr>
        <w:tabs>
          <w:tab w:val="right" w:pos="9026"/>
        </w:tabs>
        <w:spacing w:before="160" w:after="40"/>
      </w:pPr>
      <w:r>
        <w:rPr>
          <w:b/>
          <w:bCs/>
        </w:rPr>
        <w:t>Finance Assistant</w:t>
      </w:r>
      <w:r>
        <w:rPr>
          <w:color w:val="555555"/>
          <w:sz w:val="18"/>
          <w:szCs w:val="18"/>
        </w:rPr>
        <w:t xml:space="preserve">  |  SMS LLP (Mtandt Group Company)  |  Chennai, India</w:t>
      </w:r>
      <w:r>
        <w:rPr>
          <w:i/>
          <w:iCs/>
          <w:color w:val="555555"/>
          <w:sz w:val="18"/>
          <w:szCs w:val="18"/>
        </w:rPr>
        <w:tab/>
        <w:t>Feb 2022 – May 2023</w:t>
      </w:r>
    </w:p>
    <w:p w14:paraId="5B399DAF" w14:textId="50409153" w:rsidR="00CC1F52" w:rsidRDefault="0028307D">
      <w:pPr>
        <w:pStyle w:val="ListParagraph"/>
        <w:numPr>
          <w:ilvl w:val="0"/>
          <w:numId w:val="2"/>
        </w:numPr>
        <w:spacing w:before="40" w:after="40"/>
      </w:pPr>
      <w:r>
        <w:rPr>
          <w:sz w:val="18"/>
          <w:szCs w:val="18"/>
        </w:rPr>
        <w:t xml:space="preserve">Produced monthly management accounts, forecasts, and </w:t>
      </w:r>
      <w:r w:rsidR="004000AA">
        <w:rPr>
          <w:sz w:val="18"/>
          <w:szCs w:val="18"/>
        </w:rPr>
        <w:t>financial</w:t>
      </w:r>
      <w:r>
        <w:rPr>
          <w:sz w:val="18"/>
          <w:szCs w:val="18"/>
        </w:rPr>
        <w:t xml:space="preserve"> </w:t>
      </w:r>
      <w:r w:rsidR="00DB42A2">
        <w:rPr>
          <w:sz w:val="18"/>
          <w:szCs w:val="18"/>
        </w:rPr>
        <w:t>statement</w:t>
      </w:r>
      <w:r>
        <w:rPr>
          <w:sz w:val="18"/>
          <w:szCs w:val="18"/>
        </w:rPr>
        <w:t xml:space="preserve"> to support executive decision-making.</w:t>
      </w:r>
    </w:p>
    <w:p w14:paraId="4C63196A" w14:textId="77777777" w:rsidR="00CC1F52" w:rsidRDefault="0028307D">
      <w:pPr>
        <w:pStyle w:val="ListParagraph"/>
        <w:numPr>
          <w:ilvl w:val="0"/>
          <w:numId w:val="2"/>
        </w:numPr>
        <w:spacing w:before="40" w:after="40"/>
      </w:pPr>
      <w:r>
        <w:rPr>
          <w:sz w:val="18"/>
          <w:szCs w:val="18"/>
        </w:rPr>
        <w:t>Conducted inventory and asset performance analysis, recommending provisions that reduced potential financial losses by 12%.</w:t>
      </w:r>
    </w:p>
    <w:p w14:paraId="10D2E55B" w14:textId="77777777" w:rsidR="00CC1F52" w:rsidRDefault="0028307D">
      <w:pPr>
        <w:pStyle w:val="ListParagraph"/>
        <w:numPr>
          <w:ilvl w:val="0"/>
          <w:numId w:val="2"/>
        </w:numPr>
        <w:spacing w:before="40" w:after="40"/>
      </w:pPr>
      <w:r>
        <w:rPr>
          <w:sz w:val="18"/>
          <w:szCs w:val="18"/>
        </w:rPr>
        <w:t>Supported annual budgeting and variance analysis to track financial performance against targets.</w:t>
      </w:r>
    </w:p>
    <w:p w14:paraId="05B5927A" w14:textId="77777777" w:rsidR="00CC1F52" w:rsidRDefault="0028307D">
      <w:pPr>
        <w:pBdr>
          <w:bottom w:val="single" w:sz="8" w:space="4" w:color="1A5276"/>
        </w:pBdr>
        <w:spacing w:before="240" w:after="80"/>
      </w:pPr>
      <w:r>
        <w:rPr>
          <w:b/>
          <w:bCs/>
          <w:color w:val="1A5276"/>
          <w:sz w:val="22"/>
          <w:szCs w:val="22"/>
        </w:rPr>
        <w:t>SKILLS &amp; TOOLS</w:t>
      </w:r>
    </w:p>
    <w:p w14:paraId="21C11190" w14:textId="77777777" w:rsidR="00CC1F52" w:rsidRDefault="0028307D">
      <w:pPr>
        <w:pStyle w:val="ListParagraph"/>
        <w:numPr>
          <w:ilvl w:val="0"/>
          <w:numId w:val="2"/>
        </w:numPr>
        <w:spacing w:before="40" w:after="40"/>
      </w:pPr>
      <w:r>
        <w:rPr>
          <w:b/>
          <w:bCs/>
          <w:sz w:val="18"/>
          <w:szCs w:val="18"/>
        </w:rPr>
        <w:t xml:space="preserve">Financial Analysis – </w:t>
      </w:r>
      <w:r>
        <w:rPr>
          <w:sz w:val="18"/>
          <w:szCs w:val="18"/>
        </w:rPr>
        <w:t>Equity Valuation (DCF, CAPM), Profitability Modelling, Scenario &amp; Sensitivity Analysis, Financial Forecasting</w:t>
      </w:r>
    </w:p>
    <w:p w14:paraId="06CB807B" w14:textId="457FCC89" w:rsidR="00CC1F52" w:rsidRDefault="0028307D">
      <w:pPr>
        <w:pStyle w:val="ListParagraph"/>
        <w:numPr>
          <w:ilvl w:val="0"/>
          <w:numId w:val="2"/>
        </w:numPr>
        <w:spacing w:before="40" w:after="40"/>
      </w:pPr>
      <w:r>
        <w:rPr>
          <w:b/>
          <w:bCs/>
          <w:sz w:val="18"/>
          <w:szCs w:val="18"/>
        </w:rPr>
        <w:t xml:space="preserve">Technical Tools – </w:t>
      </w:r>
      <w:r>
        <w:rPr>
          <w:sz w:val="18"/>
          <w:szCs w:val="18"/>
        </w:rPr>
        <w:t>Bloomberg Terminal, Advanced Excel (VBA, Power Query), Python (data visualisation), SQL (Basic), PowerPoint</w:t>
      </w:r>
    </w:p>
    <w:p w14:paraId="480CA6E1" w14:textId="77777777" w:rsidR="00CC1F52" w:rsidRDefault="0028307D">
      <w:pPr>
        <w:pStyle w:val="ListParagraph"/>
        <w:numPr>
          <w:ilvl w:val="0"/>
          <w:numId w:val="2"/>
        </w:numPr>
        <w:spacing w:before="40" w:after="40"/>
      </w:pPr>
      <w:r>
        <w:rPr>
          <w:b/>
          <w:bCs/>
          <w:sz w:val="18"/>
          <w:szCs w:val="18"/>
        </w:rPr>
        <w:t xml:space="preserve">Finance Knowledge – </w:t>
      </w:r>
      <w:r>
        <w:rPr>
          <w:sz w:val="18"/>
          <w:szCs w:val="18"/>
        </w:rPr>
        <w:t>Investment Management, Capital Markets, Financial Reporting, Cost Analysis, Variance Analysis</w:t>
      </w:r>
    </w:p>
    <w:p w14:paraId="286AE86C" w14:textId="77777777" w:rsidR="00CC1F52" w:rsidRDefault="0028307D">
      <w:pPr>
        <w:pStyle w:val="ListParagraph"/>
        <w:numPr>
          <w:ilvl w:val="0"/>
          <w:numId w:val="2"/>
        </w:numPr>
        <w:spacing w:before="40" w:after="40"/>
      </w:pPr>
      <w:r>
        <w:rPr>
          <w:b/>
          <w:bCs/>
          <w:sz w:val="18"/>
          <w:szCs w:val="18"/>
        </w:rPr>
        <w:t xml:space="preserve">Soft Skills – </w:t>
      </w:r>
      <w:r>
        <w:rPr>
          <w:sz w:val="18"/>
          <w:szCs w:val="18"/>
        </w:rPr>
        <w:t>Analytical Thinking, Stakeholder Communication, Cross-functional Collaboration, Report Writing</w:t>
      </w:r>
    </w:p>
    <w:sectPr w:rsidR="00CC1F52" w:rsidSect="00C267E6">
      <w:pgSz w:w="11906" w:h="16838"/>
      <w:pgMar w:top="425" w:right="425" w:bottom="425" w:left="425"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861"/>
    <w:multiLevelType w:val="hybridMultilevel"/>
    <w:tmpl w:val="ACD28516"/>
    <w:lvl w:ilvl="0" w:tplc="1BE0DB34">
      <w:start w:val="1"/>
      <w:numFmt w:val="bullet"/>
      <w:lvlText w:val="●"/>
      <w:lvlJc w:val="left"/>
      <w:pPr>
        <w:ind w:left="720" w:hanging="360"/>
      </w:pPr>
    </w:lvl>
    <w:lvl w:ilvl="1" w:tplc="F5347576">
      <w:start w:val="1"/>
      <w:numFmt w:val="bullet"/>
      <w:lvlText w:val="○"/>
      <w:lvlJc w:val="left"/>
      <w:pPr>
        <w:ind w:left="1440" w:hanging="360"/>
      </w:pPr>
    </w:lvl>
    <w:lvl w:ilvl="2" w:tplc="BBF64CB8">
      <w:start w:val="1"/>
      <w:numFmt w:val="bullet"/>
      <w:lvlText w:val="■"/>
      <w:lvlJc w:val="left"/>
      <w:pPr>
        <w:ind w:left="2160" w:hanging="360"/>
      </w:pPr>
    </w:lvl>
    <w:lvl w:ilvl="3" w:tplc="AAEA46D0">
      <w:start w:val="1"/>
      <w:numFmt w:val="bullet"/>
      <w:lvlText w:val="●"/>
      <w:lvlJc w:val="left"/>
      <w:pPr>
        <w:ind w:left="2880" w:hanging="360"/>
      </w:pPr>
    </w:lvl>
    <w:lvl w:ilvl="4" w:tplc="195E8160">
      <w:start w:val="1"/>
      <w:numFmt w:val="bullet"/>
      <w:lvlText w:val="○"/>
      <w:lvlJc w:val="left"/>
      <w:pPr>
        <w:ind w:left="3600" w:hanging="360"/>
      </w:pPr>
    </w:lvl>
    <w:lvl w:ilvl="5" w:tplc="DD9068F0">
      <w:start w:val="1"/>
      <w:numFmt w:val="bullet"/>
      <w:lvlText w:val="■"/>
      <w:lvlJc w:val="left"/>
      <w:pPr>
        <w:ind w:left="4320" w:hanging="360"/>
      </w:pPr>
    </w:lvl>
    <w:lvl w:ilvl="6" w:tplc="3F7A7C22">
      <w:start w:val="1"/>
      <w:numFmt w:val="bullet"/>
      <w:lvlText w:val="●"/>
      <w:lvlJc w:val="left"/>
      <w:pPr>
        <w:ind w:left="5040" w:hanging="360"/>
      </w:pPr>
    </w:lvl>
    <w:lvl w:ilvl="7" w:tplc="A4200152">
      <w:start w:val="1"/>
      <w:numFmt w:val="bullet"/>
      <w:lvlText w:val="●"/>
      <w:lvlJc w:val="left"/>
      <w:pPr>
        <w:ind w:left="5760" w:hanging="360"/>
      </w:pPr>
    </w:lvl>
    <w:lvl w:ilvl="8" w:tplc="1AC66278">
      <w:start w:val="1"/>
      <w:numFmt w:val="bullet"/>
      <w:lvlText w:val="●"/>
      <w:lvlJc w:val="left"/>
      <w:pPr>
        <w:ind w:left="6480" w:hanging="360"/>
      </w:pPr>
    </w:lvl>
  </w:abstractNum>
  <w:abstractNum w:abstractNumId="1" w15:restartNumberingAfterBreak="0">
    <w:nsid w:val="4EC64A24"/>
    <w:multiLevelType w:val="hybridMultilevel"/>
    <w:tmpl w:val="2EFABC7E"/>
    <w:lvl w:ilvl="0" w:tplc="BA52558A">
      <w:start w:val="1"/>
      <w:numFmt w:val="bullet"/>
      <w:lvlText w:val="•"/>
      <w:lvlJc w:val="left"/>
      <w:pPr>
        <w:ind w:left="480" w:hanging="240"/>
      </w:pPr>
    </w:lvl>
    <w:lvl w:ilvl="1" w:tplc="2B1ADB5C">
      <w:numFmt w:val="decimal"/>
      <w:lvlText w:val=""/>
      <w:lvlJc w:val="left"/>
    </w:lvl>
    <w:lvl w:ilvl="2" w:tplc="1486C208">
      <w:numFmt w:val="decimal"/>
      <w:lvlText w:val=""/>
      <w:lvlJc w:val="left"/>
    </w:lvl>
    <w:lvl w:ilvl="3" w:tplc="34945AF0">
      <w:numFmt w:val="decimal"/>
      <w:lvlText w:val=""/>
      <w:lvlJc w:val="left"/>
    </w:lvl>
    <w:lvl w:ilvl="4" w:tplc="145A44A2">
      <w:numFmt w:val="decimal"/>
      <w:lvlText w:val=""/>
      <w:lvlJc w:val="left"/>
    </w:lvl>
    <w:lvl w:ilvl="5" w:tplc="462EB28A">
      <w:numFmt w:val="decimal"/>
      <w:lvlText w:val=""/>
      <w:lvlJc w:val="left"/>
    </w:lvl>
    <w:lvl w:ilvl="6" w:tplc="EFA64020">
      <w:numFmt w:val="decimal"/>
      <w:lvlText w:val=""/>
      <w:lvlJc w:val="left"/>
    </w:lvl>
    <w:lvl w:ilvl="7" w:tplc="963871C6">
      <w:numFmt w:val="decimal"/>
      <w:lvlText w:val=""/>
      <w:lvlJc w:val="left"/>
    </w:lvl>
    <w:lvl w:ilvl="8" w:tplc="12A0FFC6">
      <w:numFmt w:val="decimal"/>
      <w:lvlText w:val=""/>
      <w:lvlJc w:val="left"/>
    </w:lvl>
  </w:abstractNum>
  <w:num w:numId="1" w16cid:durableId="533346986">
    <w:abstractNumId w:val="0"/>
    <w:lvlOverride w:ilvl="0">
      <w:startOverride w:val="1"/>
    </w:lvlOverride>
  </w:num>
  <w:num w:numId="2" w16cid:durableId="862286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F52"/>
    <w:rsid w:val="0028307D"/>
    <w:rsid w:val="004000AA"/>
    <w:rsid w:val="007805FB"/>
    <w:rsid w:val="00896B2D"/>
    <w:rsid w:val="00BD46BB"/>
    <w:rsid w:val="00C267E6"/>
    <w:rsid w:val="00CC1F52"/>
    <w:rsid w:val="00D47462"/>
    <w:rsid w:val="00DB42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A811"/>
  <w15:docId w15:val="{108646E5-078D-4AE1-AEB4-BA1C5A67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67E6"/>
    <w:rPr>
      <w:color w:val="605E5C"/>
      <w:shd w:val="clear" w:color="auto" w:fill="E1DFDD"/>
    </w:rPr>
  </w:style>
  <w:style w:type="character" w:styleId="FollowedHyperlink">
    <w:name w:val="FollowedHyperlink"/>
    <w:basedOn w:val="DefaultParagraphFont"/>
    <w:uiPriority w:val="99"/>
    <w:semiHidden/>
    <w:unhideWhenUsed/>
    <w:rsid w:val="00C267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eevakumar-j/" TargetMode="External"/><Relationship Id="rId5" Type="http://schemas.openxmlformats.org/officeDocument/2006/relationships/hyperlink" Target="mailto:jeevajk2112@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Jayachandran, Jeevakumar (Postgraduate Student)</cp:lastModifiedBy>
  <cp:revision>5</cp:revision>
  <dcterms:created xsi:type="dcterms:W3CDTF">2026-05-26T15:43:00Z</dcterms:created>
  <dcterms:modified xsi:type="dcterms:W3CDTF">2026-06-09T19:40:00Z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1cee4dd1-e30c-4dd9-867a-79c531eb12bf</vt:lpwstr>
  </property>
</Properties>
</file>