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52117" w14:textId="77777777" w:rsidR="00E557C5" w:rsidRPr="00C46D28" w:rsidRDefault="00000000" w:rsidP="00C46D28">
      <w:pPr>
        <w:pStyle w:val="Heading1"/>
        <w:spacing w:before="0"/>
        <w:jc w:val="center"/>
        <w:rPr>
          <w:rFonts w:ascii="Times New Roman" w:hAnsi="Times New Roman" w:cs="Times New Roman"/>
          <w:color w:val="auto"/>
        </w:rPr>
      </w:pPr>
      <w:bookmarkStart w:id="0" w:name="X711d37d8edddb501ce9849a7799a4f2cbefb5ad"/>
      <w:r w:rsidRPr="00C46D28">
        <w:rPr>
          <w:rFonts w:ascii="Times New Roman" w:hAnsi="Times New Roman" w:cs="Times New Roman"/>
          <w:color w:val="auto"/>
        </w:rPr>
        <w:t>Predictive Modeling of Electricity Access in Africa</w:t>
      </w:r>
    </w:p>
    <w:p w14:paraId="49DAD641" w14:textId="7A0E2235" w:rsidR="00C46D28" w:rsidRPr="00C46D28" w:rsidRDefault="00FF44BF" w:rsidP="00C46D28">
      <w:pPr>
        <w:pStyle w:val="FirstParagraph"/>
        <w:jc w:val="center"/>
        <w:rPr>
          <w:rFonts w:ascii="Times New Roman" w:hAnsi="Times New Roman" w:cs="Times New Roman"/>
          <w:sz w:val="22"/>
          <w:szCs w:val="22"/>
        </w:rPr>
      </w:pPr>
      <w:r w:rsidRPr="00C46D28">
        <w:rPr>
          <w:noProof/>
          <w:sz w:val="22"/>
          <w:szCs w:val="22"/>
        </w:rPr>
        <w:drawing>
          <wp:inline distT="0" distB="0" distL="0" distR="0" wp14:anchorId="6F0C8F5B" wp14:editId="66703780">
            <wp:extent cx="4320540" cy="2430303"/>
            <wp:effectExtent l="0" t="0" r="0" b="0"/>
            <wp:docPr id="92664408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3449" cy="2437564"/>
                    </a:xfrm>
                    <a:prstGeom prst="rect">
                      <a:avLst/>
                    </a:prstGeom>
                    <a:noFill/>
                    <a:ln>
                      <a:noFill/>
                    </a:ln>
                  </pic:spPr>
                </pic:pic>
              </a:graphicData>
            </a:graphic>
          </wp:inline>
        </w:drawing>
      </w:r>
      <w:bookmarkStart w:id="1" w:name="project-overview"/>
    </w:p>
    <w:p w14:paraId="03E4F62D" w14:textId="77777777" w:rsidR="00C46D28" w:rsidRDefault="00C46D28" w:rsidP="00C46D28">
      <w:pPr>
        <w:pStyle w:val="Heading2"/>
        <w:spacing w:before="0"/>
        <w:rPr>
          <w:rFonts w:ascii="Times New Roman" w:hAnsi="Times New Roman" w:cs="Times New Roman"/>
          <w:color w:val="auto"/>
          <w:sz w:val="24"/>
          <w:szCs w:val="24"/>
        </w:rPr>
      </w:pPr>
    </w:p>
    <w:p w14:paraId="481A3E97" w14:textId="2A2FB950" w:rsidR="00E557C5" w:rsidRPr="00C46D28" w:rsidRDefault="00000000" w:rsidP="00C46D28">
      <w:pPr>
        <w:pStyle w:val="Heading2"/>
        <w:spacing w:before="0"/>
        <w:rPr>
          <w:rFonts w:ascii="Times New Roman" w:hAnsi="Times New Roman" w:cs="Times New Roman"/>
          <w:color w:val="auto"/>
          <w:sz w:val="24"/>
          <w:szCs w:val="24"/>
        </w:rPr>
      </w:pPr>
      <w:r w:rsidRPr="00C46D28">
        <w:rPr>
          <w:rFonts w:ascii="Times New Roman" w:hAnsi="Times New Roman" w:cs="Times New Roman"/>
          <w:color w:val="auto"/>
          <w:sz w:val="24"/>
          <w:szCs w:val="24"/>
        </w:rPr>
        <w:t>Project Overview</w:t>
      </w:r>
    </w:p>
    <w:p w14:paraId="31E0147A" w14:textId="77777777"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Access to electricity is vital for economic development and societal well-being. Nations with reliable electricity tend to exhibit higher productivity, an improved standard of living, and enhanced competitiveness in the global market. Electricity plays a crucial role across various sectors, including agriculture, education, and healthcare, ensuring their efficient operations. This research endeavours to analyze data from 1990 to 2021 to discern patterns and trends in electricity access across African countries. Leveraging regional and income data, alongside predictive modelling techniques, our goal is to offer insights that can guide policy decisions and interventions aimed at understanding electricity access in the region.</w:t>
      </w:r>
    </w:p>
    <w:p w14:paraId="7C7E5C31"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According to data analysis and projections from the International Energy Agency (IEA), approximately 110 million new connections are required annually starting in 2022. However, given the current pace observed in recent years, this target remains significantly off track (IEA, 2023). (https://www.iea.org/reports/sdg7- data-and-projections). The idea of this project is to analyze and track the trend of electricity access in Africa and attempt to develop predictive modelling of electricity access in Africa to identify significant statistical relationships and differences through the forecast and trends.</w:t>
      </w:r>
    </w:p>
    <w:p w14:paraId="5EFCFAD5" w14:textId="77777777" w:rsidR="00C46D28" w:rsidRDefault="00C46D28">
      <w:pPr>
        <w:pStyle w:val="Heading2"/>
        <w:rPr>
          <w:rFonts w:ascii="Times New Roman" w:hAnsi="Times New Roman" w:cs="Times New Roman"/>
          <w:color w:val="auto"/>
          <w:sz w:val="24"/>
          <w:szCs w:val="24"/>
        </w:rPr>
      </w:pPr>
      <w:bookmarkStart w:id="2" w:name="problem-statement"/>
      <w:bookmarkEnd w:id="1"/>
    </w:p>
    <w:p w14:paraId="16A3B5C5" w14:textId="22EFA796" w:rsidR="00E557C5" w:rsidRPr="00C46D28" w:rsidRDefault="00000000">
      <w:pPr>
        <w:pStyle w:val="Heading2"/>
        <w:rPr>
          <w:rFonts w:ascii="Times New Roman" w:hAnsi="Times New Roman" w:cs="Times New Roman"/>
          <w:color w:val="auto"/>
          <w:sz w:val="24"/>
          <w:szCs w:val="24"/>
        </w:rPr>
      </w:pPr>
      <w:r w:rsidRPr="00C46D28">
        <w:rPr>
          <w:rFonts w:ascii="Times New Roman" w:hAnsi="Times New Roman" w:cs="Times New Roman"/>
          <w:color w:val="auto"/>
          <w:sz w:val="24"/>
          <w:szCs w:val="24"/>
        </w:rPr>
        <w:t>Problem Statement</w:t>
      </w:r>
    </w:p>
    <w:p w14:paraId="218104AF" w14:textId="77777777"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The problem that this study addresses revolves around the persistent challenge of low electricity access in various African countries. If this issue remains unaddressed, it could have severe consequences, impacting millions of people and impeding socio-economic development in these countries. The lack of electricity access hinders progress towards achieving the United Nations’ Sustainable Development Goals (SDGs) of promoting inclusive and sustainable economic growth. To effectively tackle this challenge, robust forecasting techniques like the ARIMA model need to be utilized to project electricity access levels until 2030. This approach aligns with the recommendations of scholars like Ma et al. (2019), who advocate for extended-duration forecasting models to address the complexities of energy access planning in African countries.</w:t>
      </w:r>
    </w:p>
    <w:p w14:paraId="6D9D774D" w14:textId="77777777" w:rsidR="00E557C5" w:rsidRPr="00C46D28" w:rsidRDefault="00000000" w:rsidP="00C46D28">
      <w:pPr>
        <w:pStyle w:val="Heading2"/>
        <w:spacing w:after="240"/>
        <w:rPr>
          <w:rFonts w:ascii="Times New Roman" w:hAnsi="Times New Roman" w:cs="Times New Roman"/>
          <w:color w:val="auto"/>
          <w:sz w:val="24"/>
          <w:szCs w:val="24"/>
        </w:rPr>
      </w:pPr>
      <w:bookmarkStart w:id="3" w:name="objectives"/>
      <w:bookmarkEnd w:id="2"/>
      <w:r w:rsidRPr="00C46D28">
        <w:rPr>
          <w:rFonts w:ascii="Times New Roman" w:hAnsi="Times New Roman" w:cs="Times New Roman"/>
          <w:color w:val="auto"/>
          <w:sz w:val="24"/>
          <w:szCs w:val="24"/>
        </w:rPr>
        <w:lastRenderedPageBreak/>
        <w:t>Objectives:</w:t>
      </w:r>
    </w:p>
    <w:p w14:paraId="4CF6BAFC" w14:textId="77777777" w:rsidR="00E557C5" w:rsidRPr="00C46D28" w:rsidRDefault="00000000" w:rsidP="00C46D28">
      <w:pPr>
        <w:numPr>
          <w:ilvl w:val="0"/>
          <w:numId w:val="2"/>
        </w:numPr>
        <w:spacing w:after="0"/>
        <w:rPr>
          <w:rFonts w:ascii="Times New Roman" w:hAnsi="Times New Roman" w:cs="Times New Roman"/>
          <w:sz w:val="22"/>
          <w:szCs w:val="22"/>
        </w:rPr>
      </w:pPr>
      <w:r w:rsidRPr="00C46D28">
        <w:rPr>
          <w:rFonts w:ascii="Times New Roman" w:hAnsi="Times New Roman" w:cs="Times New Roman"/>
          <w:sz w:val="22"/>
          <w:szCs w:val="22"/>
        </w:rPr>
        <w:t>Analyze historical trends in electricity access across African countries relative to region and income.</w:t>
      </w:r>
    </w:p>
    <w:p w14:paraId="307032AF" w14:textId="77777777" w:rsidR="00E557C5" w:rsidRPr="00C46D28" w:rsidRDefault="00000000" w:rsidP="00C46D28">
      <w:pPr>
        <w:numPr>
          <w:ilvl w:val="0"/>
          <w:numId w:val="2"/>
        </w:numPr>
        <w:spacing w:after="0"/>
        <w:rPr>
          <w:rFonts w:ascii="Times New Roman" w:hAnsi="Times New Roman" w:cs="Times New Roman"/>
          <w:sz w:val="22"/>
          <w:szCs w:val="22"/>
        </w:rPr>
      </w:pPr>
      <w:r w:rsidRPr="00C46D28">
        <w:rPr>
          <w:rFonts w:ascii="Times New Roman" w:hAnsi="Times New Roman" w:cs="Times New Roman"/>
          <w:sz w:val="22"/>
          <w:szCs w:val="22"/>
        </w:rPr>
        <w:t>Identify similarities, differences, and patterns in electricity access among African countries.</w:t>
      </w:r>
    </w:p>
    <w:p w14:paraId="5B5534F2" w14:textId="77777777" w:rsidR="00E557C5" w:rsidRPr="00C46D28" w:rsidRDefault="00000000" w:rsidP="00C46D28">
      <w:pPr>
        <w:numPr>
          <w:ilvl w:val="0"/>
          <w:numId w:val="2"/>
        </w:numPr>
        <w:spacing w:after="0"/>
        <w:rPr>
          <w:rFonts w:ascii="Times New Roman" w:hAnsi="Times New Roman" w:cs="Times New Roman"/>
          <w:sz w:val="22"/>
          <w:szCs w:val="22"/>
        </w:rPr>
      </w:pPr>
      <w:r w:rsidRPr="00C46D28">
        <w:rPr>
          <w:rFonts w:ascii="Times New Roman" w:hAnsi="Times New Roman" w:cs="Times New Roman"/>
          <w:sz w:val="22"/>
          <w:szCs w:val="22"/>
        </w:rPr>
        <w:t>Develop predictive models to forecast future electricity access levels based on regional and income data.</w:t>
      </w:r>
    </w:p>
    <w:p w14:paraId="6EDD0BCA" w14:textId="77777777" w:rsidR="00E557C5" w:rsidRPr="00C46D28" w:rsidRDefault="00000000" w:rsidP="00C46D28">
      <w:pPr>
        <w:numPr>
          <w:ilvl w:val="0"/>
          <w:numId w:val="2"/>
        </w:numPr>
        <w:spacing w:after="0"/>
        <w:rPr>
          <w:rFonts w:ascii="Times New Roman" w:hAnsi="Times New Roman" w:cs="Times New Roman"/>
          <w:sz w:val="22"/>
          <w:szCs w:val="22"/>
        </w:rPr>
      </w:pPr>
      <w:r w:rsidRPr="00C46D28">
        <w:rPr>
          <w:rFonts w:ascii="Times New Roman" w:hAnsi="Times New Roman" w:cs="Times New Roman"/>
          <w:sz w:val="22"/>
          <w:szCs w:val="22"/>
        </w:rPr>
        <w:t>Provide valuable analysis to inform targeted interventions for understanding electricity access in Africa.</w:t>
      </w:r>
    </w:p>
    <w:p w14:paraId="311A4975" w14:textId="77777777" w:rsidR="00E557C5" w:rsidRPr="00C46D28" w:rsidRDefault="00000000">
      <w:pPr>
        <w:pStyle w:val="Heading1"/>
        <w:rPr>
          <w:rFonts w:ascii="Times New Roman" w:hAnsi="Times New Roman" w:cs="Times New Roman"/>
          <w:color w:val="auto"/>
          <w:sz w:val="28"/>
          <w:szCs w:val="28"/>
        </w:rPr>
      </w:pPr>
      <w:bookmarkStart w:id="4" w:name="methodology"/>
      <w:bookmarkEnd w:id="0"/>
      <w:bookmarkEnd w:id="3"/>
      <w:r w:rsidRPr="00C46D28">
        <w:rPr>
          <w:rFonts w:ascii="Times New Roman" w:hAnsi="Times New Roman" w:cs="Times New Roman"/>
          <w:color w:val="auto"/>
          <w:sz w:val="28"/>
          <w:szCs w:val="28"/>
        </w:rPr>
        <w:t>Methodology</w:t>
      </w:r>
    </w:p>
    <w:p w14:paraId="5880D7C2" w14:textId="69DED701" w:rsidR="00E557C5" w:rsidRPr="00C46D28" w:rsidRDefault="00000000" w:rsidP="00C46D28">
      <w:pPr>
        <w:pStyle w:val="Heading2"/>
        <w:numPr>
          <w:ilvl w:val="0"/>
          <w:numId w:val="11"/>
        </w:numPr>
        <w:rPr>
          <w:rFonts w:ascii="Times New Roman" w:hAnsi="Times New Roman" w:cs="Times New Roman"/>
          <w:color w:val="auto"/>
          <w:sz w:val="24"/>
          <w:szCs w:val="24"/>
        </w:rPr>
      </w:pPr>
      <w:bookmarkStart w:id="5" w:name="research-and-data-collection"/>
      <w:r w:rsidRPr="00C46D28">
        <w:rPr>
          <w:rFonts w:ascii="Times New Roman" w:hAnsi="Times New Roman" w:cs="Times New Roman"/>
          <w:color w:val="auto"/>
          <w:sz w:val="24"/>
          <w:szCs w:val="24"/>
        </w:rPr>
        <w:t>Research and Data Collection</w:t>
      </w:r>
    </w:p>
    <w:p w14:paraId="61E2078A" w14:textId="77777777"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Datasets: The data for this project was gotten from the World Bank data on Access to electricity - https://data.worldbank.org/indicator/EG.ELC.ACCS.ZS</w:t>
      </w:r>
    </w:p>
    <w:p w14:paraId="37481FB6" w14:textId="4F73BA53" w:rsidR="00E557C5" w:rsidRPr="00C46D28" w:rsidRDefault="00000000" w:rsidP="00C46D28">
      <w:pPr>
        <w:pStyle w:val="Heading2"/>
        <w:numPr>
          <w:ilvl w:val="0"/>
          <w:numId w:val="11"/>
        </w:numPr>
        <w:rPr>
          <w:rFonts w:ascii="Times New Roman" w:hAnsi="Times New Roman" w:cs="Times New Roman"/>
          <w:color w:val="auto"/>
          <w:sz w:val="24"/>
          <w:szCs w:val="24"/>
        </w:rPr>
      </w:pPr>
      <w:bookmarkStart w:id="6" w:name="data-pre-processing"/>
      <w:bookmarkEnd w:id="5"/>
      <w:r w:rsidRPr="00C46D28">
        <w:rPr>
          <w:rFonts w:ascii="Times New Roman" w:hAnsi="Times New Roman" w:cs="Times New Roman"/>
          <w:color w:val="auto"/>
          <w:sz w:val="24"/>
          <w:szCs w:val="24"/>
        </w:rPr>
        <w:t>Data Pre-processing</w:t>
      </w:r>
    </w:p>
    <w:p w14:paraId="64F55624" w14:textId="77777777"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Data preprocessing was done on the data to clean and transform the data for analysis.</w:t>
      </w:r>
    </w:p>
    <w:p w14:paraId="32F698CB" w14:textId="07053572" w:rsidR="00E557C5" w:rsidRPr="00C46D28" w:rsidRDefault="00000000">
      <w:pPr>
        <w:numPr>
          <w:ilvl w:val="0"/>
          <w:numId w:val="3"/>
        </w:numPr>
        <w:rPr>
          <w:rFonts w:ascii="Times New Roman" w:hAnsi="Times New Roman" w:cs="Times New Roman"/>
          <w:sz w:val="22"/>
          <w:szCs w:val="22"/>
        </w:rPr>
      </w:pPr>
      <w:r w:rsidRPr="00C46D28">
        <w:rPr>
          <w:rFonts w:ascii="Times New Roman" w:hAnsi="Times New Roman" w:cs="Times New Roman"/>
          <w:sz w:val="22"/>
          <w:szCs w:val="22"/>
        </w:rPr>
        <w:t xml:space="preserve">Data Cleaning: The plot below is a visual representation of the extent of missing values. The Ridge (linear regression) was used to fill in the missing values. This is because we evaluated the dataset to ascertain it type(s) of value missingness and the options that best </w:t>
      </w:r>
      <w:r w:rsidR="0034223F">
        <w:rPr>
          <w:rFonts w:ascii="Times New Roman" w:hAnsi="Times New Roman" w:cs="Times New Roman"/>
          <w:sz w:val="22"/>
          <w:szCs w:val="22"/>
        </w:rPr>
        <w:t>suit</w:t>
      </w:r>
      <w:r w:rsidRPr="00C46D28">
        <w:rPr>
          <w:rFonts w:ascii="Times New Roman" w:hAnsi="Times New Roman" w:cs="Times New Roman"/>
          <w:sz w:val="22"/>
          <w:szCs w:val="22"/>
        </w:rPr>
        <w:t xml:space="preserve"> it. Ridge regression was a better option for the missing values and therefore, was used in filling </w:t>
      </w:r>
      <w:r w:rsidR="0034223F">
        <w:rPr>
          <w:rFonts w:ascii="Times New Roman" w:hAnsi="Times New Roman" w:cs="Times New Roman"/>
          <w:sz w:val="22"/>
          <w:szCs w:val="22"/>
        </w:rPr>
        <w:t>in</w:t>
      </w:r>
      <w:r w:rsidRPr="00C46D28">
        <w:rPr>
          <w:rFonts w:ascii="Times New Roman" w:hAnsi="Times New Roman" w:cs="Times New Roman"/>
          <w:sz w:val="22"/>
          <w:szCs w:val="22"/>
        </w:rPr>
        <w:t xml:space="preserve"> the missing values. </w:t>
      </w:r>
    </w:p>
    <w:p w14:paraId="3AD2D87F" w14:textId="6D280FA8" w:rsidR="00FF44BF" w:rsidRPr="00C46D28" w:rsidRDefault="00FF44BF" w:rsidP="00C46D28">
      <w:pPr>
        <w:jc w:val="center"/>
        <w:rPr>
          <w:rFonts w:ascii="Times New Roman" w:hAnsi="Times New Roman" w:cs="Times New Roman"/>
          <w:sz w:val="22"/>
          <w:szCs w:val="22"/>
        </w:rPr>
      </w:pPr>
      <w:r w:rsidRPr="00C46D28">
        <w:rPr>
          <w:noProof/>
          <w:sz w:val="22"/>
          <w:szCs w:val="22"/>
        </w:rPr>
        <w:drawing>
          <wp:inline distT="0" distB="0" distL="0" distR="0" wp14:anchorId="725FC0CC" wp14:editId="40EE55B8">
            <wp:extent cx="5013960" cy="2437877"/>
            <wp:effectExtent l="0" t="0" r="0" b="0"/>
            <wp:docPr id="21772264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2704" cy="2451853"/>
                    </a:xfrm>
                    <a:prstGeom prst="rect">
                      <a:avLst/>
                    </a:prstGeom>
                    <a:noFill/>
                    <a:ln>
                      <a:noFill/>
                    </a:ln>
                  </pic:spPr>
                </pic:pic>
              </a:graphicData>
            </a:graphic>
          </wp:inline>
        </w:drawing>
      </w:r>
    </w:p>
    <w:p w14:paraId="71CA4ABC" w14:textId="77777777" w:rsidR="00C46D28" w:rsidRPr="00C46D28" w:rsidRDefault="00C46D28" w:rsidP="00C46D28">
      <w:pPr>
        <w:ind w:left="720"/>
        <w:rPr>
          <w:rFonts w:ascii="Times New Roman" w:hAnsi="Times New Roman" w:cs="Times New Roman"/>
          <w:sz w:val="22"/>
          <w:szCs w:val="22"/>
        </w:rPr>
      </w:pPr>
    </w:p>
    <w:p w14:paraId="395064EF" w14:textId="0DE3A8AA" w:rsidR="00E557C5" w:rsidRPr="00C46D28" w:rsidRDefault="00000000">
      <w:pPr>
        <w:numPr>
          <w:ilvl w:val="0"/>
          <w:numId w:val="3"/>
        </w:numPr>
        <w:rPr>
          <w:rFonts w:ascii="Times New Roman" w:hAnsi="Times New Roman" w:cs="Times New Roman"/>
          <w:sz w:val="22"/>
          <w:szCs w:val="22"/>
        </w:rPr>
      </w:pPr>
      <w:r w:rsidRPr="00C46D28">
        <w:rPr>
          <w:rFonts w:ascii="Times New Roman" w:hAnsi="Times New Roman" w:cs="Times New Roman"/>
          <w:sz w:val="22"/>
          <w:szCs w:val="22"/>
        </w:rPr>
        <w:t>Data Availability</w:t>
      </w:r>
    </w:p>
    <w:p w14:paraId="5C3CFFB6" w14:textId="6369F3DD" w:rsidR="00E557C5" w:rsidRPr="00C46D28" w:rsidRDefault="00FF44BF" w:rsidP="00C46D28">
      <w:pPr>
        <w:pStyle w:val="FirstParagraph"/>
        <w:jc w:val="center"/>
        <w:rPr>
          <w:rFonts w:ascii="Times New Roman" w:hAnsi="Times New Roman" w:cs="Times New Roman"/>
          <w:sz w:val="22"/>
          <w:szCs w:val="22"/>
        </w:rPr>
      </w:pPr>
      <w:r w:rsidRPr="00C46D28">
        <w:rPr>
          <w:noProof/>
          <w:sz w:val="22"/>
          <w:szCs w:val="22"/>
        </w:rPr>
        <w:lastRenderedPageBreak/>
        <w:drawing>
          <wp:inline distT="0" distB="0" distL="0" distR="0" wp14:anchorId="67A1E8E6" wp14:editId="72BE8A3F">
            <wp:extent cx="2409582" cy="1920240"/>
            <wp:effectExtent l="0" t="0" r="0" b="0"/>
            <wp:docPr id="63204243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7753" cy="1934721"/>
                    </a:xfrm>
                    <a:prstGeom prst="rect">
                      <a:avLst/>
                    </a:prstGeom>
                    <a:noFill/>
                    <a:ln>
                      <a:noFill/>
                    </a:ln>
                  </pic:spPr>
                </pic:pic>
              </a:graphicData>
            </a:graphic>
          </wp:inline>
        </w:drawing>
      </w:r>
    </w:p>
    <w:p w14:paraId="2B2ACF9F" w14:textId="77777777" w:rsidR="00E557C5" w:rsidRPr="00C46D28" w:rsidRDefault="00000000">
      <w:pPr>
        <w:pStyle w:val="Heading2"/>
        <w:rPr>
          <w:rFonts w:ascii="Times New Roman" w:hAnsi="Times New Roman" w:cs="Times New Roman"/>
          <w:color w:val="auto"/>
          <w:sz w:val="24"/>
          <w:szCs w:val="24"/>
        </w:rPr>
      </w:pPr>
      <w:bookmarkStart w:id="7" w:name="exploratory-data-analysis"/>
      <w:bookmarkEnd w:id="6"/>
      <w:r w:rsidRPr="00C46D28">
        <w:rPr>
          <w:rFonts w:ascii="Times New Roman" w:hAnsi="Times New Roman" w:cs="Times New Roman"/>
          <w:color w:val="auto"/>
          <w:sz w:val="24"/>
          <w:szCs w:val="24"/>
        </w:rPr>
        <w:t>Exploratory Data Analysis</w:t>
      </w:r>
    </w:p>
    <w:p w14:paraId="569D67C2" w14:textId="77777777" w:rsidR="00E557C5" w:rsidRPr="00C46D28" w:rsidRDefault="00000000">
      <w:pPr>
        <w:numPr>
          <w:ilvl w:val="0"/>
          <w:numId w:val="4"/>
        </w:numPr>
        <w:rPr>
          <w:rFonts w:ascii="Times New Roman" w:hAnsi="Times New Roman" w:cs="Times New Roman"/>
          <w:sz w:val="22"/>
          <w:szCs w:val="22"/>
        </w:rPr>
      </w:pPr>
      <w:r w:rsidRPr="00C46D28">
        <w:rPr>
          <w:rFonts w:ascii="Times New Roman" w:hAnsi="Times New Roman" w:cs="Times New Roman"/>
          <w:sz w:val="22"/>
          <w:szCs w:val="22"/>
        </w:rPr>
        <w:t>Electricity Access Percentage by Income Group</w:t>
      </w:r>
    </w:p>
    <w:p w14:paraId="6FA264A6" w14:textId="4965F91B" w:rsidR="00E557C5" w:rsidRDefault="00FF44BF" w:rsidP="00C46D28">
      <w:pPr>
        <w:pStyle w:val="FirstParagraph"/>
        <w:jc w:val="center"/>
        <w:rPr>
          <w:rFonts w:ascii="Times New Roman" w:hAnsi="Times New Roman" w:cs="Times New Roman"/>
          <w:sz w:val="22"/>
          <w:szCs w:val="22"/>
        </w:rPr>
      </w:pPr>
      <w:r w:rsidRPr="00C46D28">
        <w:rPr>
          <w:noProof/>
          <w:sz w:val="22"/>
          <w:szCs w:val="22"/>
        </w:rPr>
        <w:drawing>
          <wp:inline distT="0" distB="0" distL="0" distR="0" wp14:anchorId="2E71A317" wp14:editId="7E61373E">
            <wp:extent cx="4210331" cy="2796540"/>
            <wp:effectExtent l="0" t="0" r="0" b="0"/>
            <wp:docPr id="151496816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8184" cy="2815040"/>
                    </a:xfrm>
                    <a:prstGeom prst="rect">
                      <a:avLst/>
                    </a:prstGeom>
                    <a:noFill/>
                    <a:ln>
                      <a:noFill/>
                    </a:ln>
                  </pic:spPr>
                </pic:pic>
              </a:graphicData>
            </a:graphic>
          </wp:inline>
        </w:drawing>
      </w:r>
    </w:p>
    <w:p w14:paraId="10EFB446" w14:textId="77777777" w:rsidR="0034223F" w:rsidRPr="00C46D28" w:rsidRDefault="0034223F" w:rsidP="0034223F">
      <w:pPr>
        <w:numPr>
          <w:ilvl w:val="0"/>
          <w:numId w:val="4"/>
        </w:numPr>
        <w:rPr>
          <w:rFonts w:ascii="Times New Roman" w:hAnsi="Times New Roman" w:cs="Times New Roman"/>
          <w:sz w:val="22"/>
          <w:szCs w:val="22"/>
        </w:rPr>
      </w:pPr>
      <w:r w:rsidRPr="00C46D28">
        <w:rPr>
          <w:rFonts w:ascii="Times New Roman" w:hAnsi="Times New Roman" w:cs="Times New Roman"/>
          <w:sz w:val="22"/>
          <w:szCs w:val="22"/>
        </w:rPr>
        <w:t xml:space="preserve">Descriptive Statistics of Electricity Access in Africa </w:t>
      </w:r>
    </w:p>
    <w:p w14:paraId="44ABE151" w14:textId="58E858CB" w:rsidR="0034223F" w:rsidRPr="00C47121" w:rsidRDefault="0034223F" w:rsidP="00C47121">
      <w:pPr>
        <w:ind w:left="240"/>
        <w:jc w:val="center"/>
        <w:rPr>
          <w:rFonts w:ascii="Times New Roman" w:hAnsi="Times New Roman" w:cs="Times New Roman"/>
          <w:sz w:val="22"/>
          <w:szCs w:val="22"/>
        </w:rPr>
      </w:pPr>
      <w:r w:rsidRPr="00C46D28">
        <w:rPr>
          <w:noProof/>
          <w:sz w:val="22"/>
          <w:szCs w:val="22"/>
        </w:rPr>
        <w:drawing>
          <wp:inline distT="0" distB="0" distL="0" distR="0" wp14:anchorId="754CE902" wp14:editId="2E4E263D">
            <wp:extent cx="3434742" cy="2499360"/>
            <wp:effectExtent l="0" t="0" r="0" b="0"/>
            <wp:docPr id="186170618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046" cy="2531599"/>
                    </a:xfrm>
                    <a:prstGeom prst="rect">
                      <a:avLst/>
                    </a:prstGeom>
                    <a:noFill/>
                    <a:ln>
                      <a:noFill/>
                    </a:ln>
                  </pic:spPr>
                </pic:pic>
              </a:graphicData>
            </a:graphic>
          </wp:inline>
        </w:drawing>
      </w:r>
    </w:p>
    <w:p w14:paraId="43FC3914" w14:textId="77777777" w:rsidR="00E557C5" w:rsidRPr="00C46D28" w:rsidRDefault="00000000">
      <w:pPr>
        <w:pStyle w:val="Compact"/>
        <w:numPr>
          <w:ilvl w:val="0"/>
          <w:numId w:val="5"/>
        </w:numPr>
        <w:rPr>
          <w:rFonts w:ascii="Times New Roman" w:hAnsi="Times New Roman" w:cs="Times New Roman"/>
          <w:sz w:val="22"/>
          <w:szCs w:val="22"/>
        </w:rPr>
      </w:pPr>
      <w:r w:rsidRPr="00C46D28">
        <w:rPr>
          <w:rFonts w:ascii="Times New Roman" w:hAnsi="Times New Roman" w:cs="Times New Roman"/>
          <w:sz w:val="22"/>
          <w:szCs w:val="22"/>
        </w:rPr>
        <w:lastRenderedPageBreak/>
        <w:t>Mean Electricity Access (1990-2021)</w:t>
      </w:r>
    </w:p>
    <w:p w14:paraId="67F4F55F" w14:textId="7AC4ED0B" w:rsidR="00C46D28" w:rsidRPr="00C47121" w:rsidRDefault="00FF44BF" w:rsidP="00C47121">
      <w:pPr>
        <w:pStyle w:val="FirstParagraph"/>
        <w:jc w:val="center"/>
        <w:rPr>
          <w:rFonts w:ascii="Times New Roman" w:hAnsi="Times New Roman" w:cs="Times New Roman"/>
          <w:sz w:val="22"/>
          <w:szCs w:val="22"/>
        </w:rPr>
      </w:pPr>
      <w:r w:rsidRPr="00C46D28">
        <w:rPr>
          <w:noProof/>
          <w:sz w:val="22"/>
          <w:szCs w:val="22"/>
        </w:rPr>
        <w:drawing>
          <wp:inline distT="0" distB="0" distL="0" distR="0" wp14:anchorId="167DDA9F" wp14:editId="56ACB067">
            <wp:extent cx="5848350" cy="2418358"/>
            <wp:effectExtent l="0" t="0" r="0" b="0"/>
            <wp:docPr id="130269208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0" t="1249" b="674"/>
                    <a:stretch/>
                  </pic:blipFill>
                  <pic:spPr bwMode="auto">
                    <a:xfrm>
                      <a:off x="0" y="0"/>
                      <a:ext cx="5872226" cy="2428231"/>
                    </a:xfrm>
                    <a:prstGeom prst="rect">
                      <a:avLst/>
                    </a:prstGeom>
                    <a:noFill/>
                    <a:ln>
                      <a:noFill/>
                    </a:ln>
                    <a:extLst>
                      <a:ext uri="{53640926-AAD7-44D8-BBD7-CCE9431645EC}">
                        <a14:shadowObscured xmlns:a14="http://schemas.microsoft.com/office/drawing/2010/main"/>
                      </a:ext>
                    </a:extLst>
                  </pic:spPr>
                </pic:pic>
              </a:graphicData>
            </a:graphic>
          </wp:inline>
        </w:drawing>
      </w:r>
      <w:bookmarkStart w:id="8" w:name="electricity-access-in-africa"/>
      <w:bookmarkEnd w:id="7"/>
    </w:p>
    <w:p w14:paraId="6762FC46" w14:textId="3B76213E" w:rsidR="00E557C5" w:rsidRPr="00C46D28" w:rsidRDefault="00000000">
      <w:pPr>
        <w:pStyle w:val="Heading2"/>
        <w:rPr>
          <w:rFonts w:ascii="Times New Roman" w:hAnsi="Times New Roman" w:cs="Times New Roman"/>
          <w:color w:val="auto"/>
          <w:sz w:val="24"/>
          <w:szCs w:val="24"/>
        </w:rPr>
      </w:pPr>
      <w:r w:rsidRPr="00C46D28">
        <w:rPr>
          <w:rFonts w:ascii="Times New Roman" w:hAnsi="Times New Roman" w:cs="Times New Roman"/>
          <w:color w:val="auto"/>
          <w:sz w:val="24"/>
          <w:szCs w:val="24"/>
        </w:rPr>
        <w:t>Electricity Access in Africa</w:t>
      </w:r>
    </w:p>
    <w:p w14:paraId="5B74EE82" w14:textId="464611E4" w:rsidR="00E557C5" w:rsidRPr="00C46D28" w:rsidRDefault="00000000">
      <w:pPr>
        <w:pStyle w:val="Compact"/>
        <w:numPr>
          <w:ilvl w:val="0"/>
          <w:numId w:val="6"/>
        </w:numPr>
        <w:rPr>
          <w:rFonts w:ascii="Times New Roman" w:hAnsi="Times New Roman" w:cs="Times New Roman"/>
          <w:sz w:val="22"/>
          <w:szCs w:val="22"/>
        </w:rPr>
      </w:pPr>
      <w:r w:rsidRPr="00C46D28">
        <w:rPr>
          <w:rFonts w:ascii="Times New Roman" w:hAnsi="Times New Roman" w:cs="Times New Roman"/>
          <w:sz w:val="22"/>
          <w:szCs w:val="22"/>
        </w:rPr>
        <w:t xml:space="preserve">Electricity Access by Income Group </w:t>
      </w:r>
    </w:p>
    <w:p w14:paraId="0A9D2A3C" w14:textId="100B2839" w:rsidR="00FF44BF" w:rsidRPr="00C46D28" w:rsidRDefault="00FF44BF" w:rsidP="00C46D28">
      <w:pPr>
        <w:pStyle w:val="Compact"/>
        <w:jc w:val="center"/>
        <w:rPr>
          <w:rFonts w:ascii="Times New Roman" w:hAnsi="Times New Roman" w:cs="Times New Roman"/>
          <w:sz w:val="22"/>
          <w:szCs w:val="22"/>
        </w:rPr>
      </w:pPr>
      <w:r w:rsidRPr="00C46D28">
        <w:rPr>
          <w:noProof/>
          <w:sz w:val="22"/>
          <w:szCs w:val="22"/>
        </w:rPr>
        <w:drawing>
          <wp:inline distT="0" distB="0" distL="0" distR="0" wp14:anchorId="28145DDD" wp14:editId="4D75BA3D">
            <wp:extent cx="4693920" cy="3117746"/>
            <wp:effectExtent l="0" t="0" r="0" b="0"/>
            <wp:docPr id="130095620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820" cy="3120336"/>
                    </a:xfrm>
                    <a:prstGeom prst="rect">
                      <a:avLst/>
                    </a:prstGeom>
                    <a:noFill/>
                    <a:ln>
                      <a:noFill/>
                    </a:ln>
                  </pic:spPr>
                </pic:pic>
              </a:graphicData>
            </a:graphic>
          </wp:inline>
        </w:drawing>
      </w:r>
    </w:p>
    <w:p w14:paraId="2FEECC57" w14:textId="77777777"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The graph shows the progress of electricity access across different income groups from 1990 to 2020.</w:t>
      </w:r>
    </w:p>
    <w:p w14:paraId="7721FAA5" w14:textId="1E2B1A83" w:rsidR="00E557C5" w:rsidRPr="00C46D28" w:rsidRDefault="00000000" w:rsidP="00C46D28">
      <w:pPr>
        <w:pStyle w:val="BodyText"/>
        <w:numPr>
          <w:ilvl w:val="0"/>
          <w:numId w:val="12"/>
        </w:numPr>
        <w:spacing w:before="0" w:after="0"/>
        <w:rPr>
          <w:rFonts w:ascii="Times New Roman" w:hAnsi="Times New Roman" w:cs="Times New Roman"/>
          <w:sz w:val="22"/>
          <w:szCs w:val="22"/>
        </w:rPr>
      </w:pPr>
      <w:r w:rsidRPr="00C46D28">
        <w:rPr>
          <w:rFonts w:ascii="Times New Roman" w:hAnsi="Times New Roman" w:cs="Times New Roman"/>
          <w:sz w:val="22"/>
          <w:szCs w:val="22"/>
        </w:rPr>
        <w:t xml:space="preserve">High Income: This group has maintained nearly 100% access throughout </w:t>
      </w:r>
      <w:r w:rsidR="0034223F">
        <w:rPr>
          <w:rFonts w:ascii="Times New Roman" w:hAnsi="Times New Roman" w:cs="Times New Roman"/>
          <w:sz w:val="22"/>
          <w:szCs w:val="22"/>
        </w:rPr>
        <w:t>the 30 years</w:t>
      </w:r>
      <w:r w:rsidRPr="00C46D28">
        <w:rPr>
          <w:rFonts w:ascii="Times New Roman" w:hAnsi="Times New Roman" w:cs="Times New Roman"/>
          <w:sz w:val="22"/>
          <w:szCs w:val="22"/>
        </w:rPr>
        <w:t>, indicating stable and consistent electricity availability.</w:t>
      </w:r>
    </w:p>
    <w:p w14:paraId="6D99925C" w14:textId="76A4CEEE" w:rsidR="00E557C5" w:rsidRPr="00C46D28" w:rsidRDefault="00000000" w:rsidP="00C46D28">
      <w:pPr>
        <w:pStyle w:val="BodyText"/>
        <w:numPr>
          <w:ilvl w:val="0"/>
          <w:numId w:val="12"/>
        </w:numPr>
        <w:spacing w:before="0" w:after="0"/>
        <w:rPr>
          <w:rFonts w:ascii="Times New Roman" w:hAnsi="Times New Roman" w:cs="Times New Roman"/>
          <w:sz w:val="22"/>
          <w:szCs w:val="22"/>
        </w:rPr>
      </w:pPr>
      <w:r w:rsidRPr="00C46D28">
        <w:rPr>
          <w:rFonts w:ascii="Times New Roman" w:hAnsi="Times New Roman" w:cs="Times New Roman"/>
          <w:sz w:val="22"/>
          <w:szCs w:val="22"/>
        </w:rPr>
        <w:t>Upper Middle Income: Starting with lower access rates, this group has seen a substantial increase, nearing complete access by 2020.</w:t>
      </w:r>
    </w:p>
    <w:p w14:paraId="3790CE88" w14:textId="2BA37B45" w:rsidR="00E557C5" w:rsidRPr="00C46D28" w:rsidRDefault="00000000" w:rsidP="00C46D28">
      <w:pPr>
        <w:pStyle w:val="BodyText"/>
        <w:numPr>
          <w:ilvl w:val="0"/>
          <w:numId w:val="12"/>
        </w:numPr>
        <w:spacing w:before="0" w:after="0"/>
        <w:rPr>
          <w:rFonts w:ascii="Times New Roman" w:hAnsi="Times New Roman" w:cs="Times New Roman"/>
          <w:sz w:val="22"/>
          <w:szCs w:val="22"/>
        </w:rPr>
      </w:pPr>
      <w:r w:rsidRPr="00C46D28">
        <w:rPr>
          <w:rFonts w:ascii="Times New Roman" w:hAnsi="Times New Roman" w:cs="Times New Roman"/>
          <w:sz w:val="22"/>
          <w:szCs w:val="22"/>
        </w:rPr>
        <w:t>Lower Middle Income: Similar to the upper middle income, there’s been a significant improvement in access over time.</w:t>
      </w:r>
    </w:p>
    <w:p w14:paraId="494FFBAA" w14:textId="39BCD4D1" w:rsidR="00E557C5" w:rsidRDefault="00000000" w:rsidP="00C46D28">
      <w:pPr>
        <w:pStyle w:val="BodyText"/>
        <w:numPr>
          <w:ilvl w:val="0"/>
          <w:numId w:val="12"/>
        </w:numPr>
        <w:spacing w:before="0" w:after="0"/>
        <w:rPr>
          <w:rFonts w:ascii="Times New Roman" w:hAnsi="Times New Roman" w:cs="Times New Roman"/>
          <w:sz w:val="22"/>
          <w:szCs w:val="22"/>
        </w:rPr>
      </w:pPr>
      <w:r w:rsidRPr="00C46D28">
        <w:rPr>
          <w:rFonts w:ascii="Times New Roman" w:hAnsi="Times New Roman" w:cs="Times New Roman"/>
          <w:sz w:val="22"/>
          <w:szCs w:val="22"/>
        </w:rPr>
        <w:t>Low Income: Although they began with very limited access, the low-income group has shown considerable progress, with a clear upward trend in the graph.</w:t>
      </w:r>
    </w:p>
    <w:p w14:paraId="038BEE1D" w14:textId="77777777" w:rsidR="00C46D28" w:rsidRPr="00C46D28" w:rsidRDefault="00C46D28" w:rsidP="00C46D28">
      <w:pPr>
        <w:pStyle w:val="BodyText"/>
        <w:spacing w:before="0" w:after="0"/>
        <w:ind w:left="720"/>
        <w:rPr>
          <w:rFonts w:ascii="Times New Roman" w:hAnsi="Times New Roman" w:cs="Times New Roman"/>
          <w:sz w:val="22"/>
          <w:szCs w:val="22"/>
        </w:rPr>
      </w:pPr>
    </w:p>
    <w:p w14:paraId="592F2F3C" w14:textId="71D16A36" w:rsidR="00C46D28"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lastRenderedPageBreak/>
        <w:t xml:space="preserve">Overall, the graph illustrates a positive trend where all income groups have improved their electricity access over the past three decades, with high and </w:t>
      </w:r>
      <w:r w:rsidR="0034223F">
        <w:rPr>
          <w:rFonts w:ascii="Times New Roman" w:hAnsi="Times New Roman" w:cs="Times New Roman"/>
          <w:sz w:val="22"/>
          <w:szCs w:val="22"/>
        </w:rPr>
        <w:t>upper-middle-income</w:t>
      </w:r>
      <w:r w:rsidRPr="00C46D28">
        <w:rPr>
          <w:rFonts w:ascii="Times New Roman" w:hAnsi="Times New Roman" w:cs="Times New Roman"/>
          <w:sz w:val="22"/>
          <w:szCs w:val="22"/>
        </w:rPr>
        <w:t xml:space="preserve"> groups achieving near-universal access by 2020. The most notable progress is seen in the low-income group, which, despite starting from a low base, has made significant strides towards better electricity access. This reflects the ongoing efforts and investments in infrastructure to bridge the energy gap between different socioeconomic classes.</w:t>
      </w:r>
    </w:p>
    <w:p w14:paraId="0C3779D5" w14:textId="77777777" w:rsidR="00E557C5" w:rsidRPr="00C46D28" w:rsidRDefault="00000000" w:rsidP="00C46D28">
      <w:pPr>
        <w:numPr>
          <w:ilvl w:val="0"/>
          <w:numId w:val="7"/>
        </w:numPr>
        <w:spacing w:before="240"/>
        <w:rPr>
          <w:rFonts w:ascii="Times New Roman" w:hAnsi="Times New Roman" w:cs="Times New Roman"/>
          <w:sz w:val="22"/>
          <w:szCs w:val="22"/>
        </w:rPr>
      </w:pPr>
      <w:r w:rsidRPr="00C46D28">
        <w:rPr>
          <w:rFonts w:ascii="Times New Roman" w:hAnsi="Times New Roman" w:cs="Times New Roman"/>
          <w:sz w:val="22"/>
          <w:szCs w:val="22"/>
        </w:rPr>
        <w:t>Electricity Access by Region</w:t>
      </w:r>
    </w:p>
    <w:p w14:paraId="47498F6F" w14:textId="075EF756" w:rsidR="00E557C5" w:rsidRPr="00C46D28" w:rsidRDefault="00FF44BF" w:rsidP="00C46D28">
      <w:pPr>
        <w:ind w:left="720"/>
        <w:jc w:val="center"/>
        <w:rPr>
          <w:rFonts w:ascii="Times New Roman" w:hAnsi="Times New Roman" w:cs="Times New Roman"/>
          <w:sz w:val="22"/>
          <w:szCs w:val="22"/>
        </w:rPr>
      </w:pPr>
      <w:r w:rsidRPr="00C46D28">
        <w:rPr>
          <w:noProof/>
          <w:sz w:val="22"/>
          <w:szCs w:val="22"/>
        </w:rPr>
        <w:drawing>
          <wp:inline distT="0" distB="0" distL="0" distR="0" wp14:anchorId="444D6B2B" wp14:editId="27E6A74B">
            <wp:extent cx="4177823" cy="2774950"/>
            <wp:effectExtent l="0" t="0" r="0" b="0"/>
            <wp:docPr id="9202367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7610" cy="2781451"/>
                    </a:xfrm>
                    <a:prstGeom prst="rect">
                      <a:avLst/>
                    </a:prstGeom>
                    <a:noFill/>
                    <a:ln>
                      <a:noFill/>
                    </a:ln>
                  </pic:spPr>
                </pic:pic>
              </a:graphicData>
            </a:graphic>
          </wp:inline>
        </w:drawing>
      </w:r>
    </w:p>
    <w:p w14:paraId="6C1071DC" w14:textId="77777777"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The graph above shows the progression of electricity access in various regions from 1990 to 2020.</w:t>
      </w:r>
    </w:p>
    <w:p w14:paraId="4433902C" w14:textId="1DA0F07F" w:rsidR="00C46D28" w:rsidRDefault="00000000" w:rsidP="00C46D28">
      <w:pPr>
        <w:pStyle w:val="BodyText"/>
        <w:rPr>
          <w:rFonts w:ascii="Times New Roman" w:hAnsi="Times New Roman" w:cs="Times New Roman"/>
          <w:sz w:val="22"/>
          <w:szCs w:val="22"/>
        </w:rPr>
      </w:pPr>
      <w:r w:rsidRPr="00C46D28">
        <w:rPr>
          <w:rFonts w:ascii="Times New Roman" w:hAnsi="Times New Roman" w:cs="Times New Roman"/>
          <w:sz w:val="22"/>
          <w:szCs w:val="22"/>
        </w:rPr>
        <w:t xml:space="preserve">Africa Western and Central (Orange Line): This region’s electricity access has been relatively stable, hovering around 80-90% throughout the period. Middle East &amp; North Africa (Blue Line): Starting at around 70% in 1990, there’s been a steady climb in electricity access, reaching close to 90% by 2020. Sub-Saharan Africa (Red Line): There’s a notable increase in this region, with access rising from below 20% to about 40%. Sub-Saharan Africa (excluding high income) (Green Line): This line shows significant growth, starting from below 20% and surpassing the 60% mark by 2020. Overall, the graph indicates that while there has been an improvement in electricity access across all regions, Sub-Saharan Africa (excluding </w:t>
      </w:r>
      <w:r w:rsidR="0034223F">
        <w:rPr>
          <w:rFonts w:ascii="Times New Roman" w:hAnsi="Times New Roman" w:cs="Times New Roman"/>
          <w:sz w:val="22"/>
          <w:szCs w:val="22"/>
        </w:rPr>
        <w:t>high-income</w:t>
      </w:r>
      <w:r w:rsidRPr="00C46D28">
        <w:rPr>
          <w:rFonts w:ascii="Times New Roman" w:hAnsi="Times New Roman" w:cs="Times New Roman"/>
          <w:sz w:val="22"/>
          <w:szCs w:val="22"/>
        </w:rPr>
        <w:t>) has seen the most substantial growth. However, it still has the lowest access rate compared to the other regions depicted. The Middle East &amp; North Africa region maintains the highest rate of electricity access, consistently above 80% since 1990. The data/graph suggests a positive trend towards increasing electricity access, which is crucial for development and quality of life.</w:t>
      </w:r>
      <w:bookmarkStart w:id="9" w:name="historical-trends-analysis"/>
      <w:bookmarkEnd w:id="4"/>
      <w:bookmarkEnd w:id="8"/>
    </w:p>
    <w:p w14:paraId="642DE15C" w14:textId="77777777" w:rsidR="00C47121" w:rsidRDefault="00C47121" w:rsidP="00C46D28">
      <w:pPr>
        <w:pStyle w:val="BodyText"/>
        <w:rPr>
          <w:rFonts w:ascii="Times New Roman" w:hAnsi="Times New Roman" w:cs="Times New Roman"/>
          <w:b/>
          <w:bCs/>
          <w:sz w:val="28"/>
          <w:szCs w:val="28"/>
        </w:rPr>
      </w:pPr>
    </w:p>
    <w:p w14:paraId="5262CA9C" w14:textId="77777777" w:rsidR="00C47121" w:rsidRDefault="00C47121" w:rsidP="00C46D28">
      <w:pPr>
        <w:pStyle w:val="BodyText"/>
        <w:rPr>
          <w:rFonts w:ascii="Times New Roman" w:hAnsi="Times New Roman" w:cs="Times New Roman"/>
          <w:b/>
          <w:bCs/>
          <w:sz w:val="28"/>
          <w:szCs w:val="28"/>
        </w:rPr>
      </w:pPr>
    </w:p>
    <w:p w14:paraId="56CB08FE" w14:textId="77777777" w:rsidR="00C47121" w:rsidRDefault="00C47121" w:rsidP="00C46D28">
      <w:pPr>
        <w:pStyle w:val="BodyText"/>
        <w:rPr>
          <w:rFonts w:ascii="Times New Roman" w:hAnsi="Times New Roman" w:cs="Times New Roman"/>
          <w:b/>
          <w:bCs/>
          <w:sz w:val="28"/>
          <w:szCs w:val="28"/>
        </w:rPr>
      </w:pPr>
    </w:p>
    <w:p w14:paraId="0995FD2C" w14:textId="77777777" w:rsidR="00C47121" w:rsidRDefault="00C47121" w:rsidP="00C46D28">
      <w:pPr>
        <w:pStyle w:val="BodyText"/>
        <w:rPr>
          <w:rFonts w:ascii="Times New Roman" w:hAnsi="Times New Roman" w:cs="Times New Roman"/>
          <w:b/>
          <w:bCs/>
          <w:sz w:val="28"/>
          <w:szCs w:val="28"/>
        </w:rPr>
      </w:pPr>
    </w:p>
    <w:p w14:paraId="150ABB11" w14:textId="4F2B7CE2" w:rsidR="00E557C5" w:rsidRPr="00C46D28" w:rsidRDefault="00000000" w:rsidP="00C46D28">
      <w:pPr>
        <w:pStyle w:val="BodyText"/>
        <w:rPr>
          <w:rFonts w:ascii="Times New Roman" w:hAnsi="Times New Roman" w:cs="Times New Roman"/>
          <w:b/>
          <w:bCs/>
          <w:sz w:val="22"/>
          <w:szCs w:val="22"/>
        </w:rPr>
      </w:pPr>
      <w:r w:rsidRPr="00C46D28">
        <w:rPr>
          <w:rFonts w:ascii="Times New Roman" w:hAnsi="Times New Roman" w:cs="Times New Roman"/>
          <w:b/>
          <w:bCs/>
          <w:sz w:val="28"/>
          <w:szCs w:val="28"/>
        </w:rPr>
        <w:t>Historical Trends Analysis</w:t>
      </w:r>
    </w:p>
    <w:p w14:paraId="6AA16877" w14:textId="3DA2EED0" w:rsidR="00C46D28" w:rsidRPr="00C46D28" w:rsidRDefault="00FF44BF" w:rsidP="00C46D28">
      <w:pPr>
        <w:pStyle w:val="FirstParagraph"/>
        <w:jc w:val="center"/>
        <w:rPr>
          <w:rFonts w:ascii="Times New Roman" w:hAnsi="Times New Roman" w:cs="Times New Roman"/>
          <w:sz w:val="22"/>
          <w:szCs w:val="22"/>
        </w:rPr>
      </w:pPr>
      <w:r w:rsidRPr="00C46D28">
        <w:rPr>
          <w:noProof/>
          <w:sz w:val="22"/>
          <w:szCs w:val="22"/>
        </w:rPr>
        <w:lastRenderedPageBreak/>
        <w:drawing>
          <wp:inline distT="0" distB="0" distL="0" distR="0" wp14:anchorId="0399F772" wp14:editId="6B8F9558">
            <wp:extent cx="3700949" cy="2660650"/>
            <wp:effectExtent l="0" t="0" r="0" b="0"/>
            <wp:docPr id="15631278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1246" cy="2689620"/>
                    </a:xfrm>
                    <a:prstGeom prst="rect">
                      <a:avLst/>
                    </a:prstGeom>
                    <a:noFill/>
                    <a:ln>
                      <a:noFill/>
                    </a:ln>
                  </pic:spPr>
                </pic:pic>
              </a:graphicData>
            </a:graphic>
          </wp:inline>
        </w:drawing>
      </w:r>
    </w:p>
    <w:p w14:paraId="2BE4130E"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Analyzing the trends in electricity access across different regions and income groups in Africa, we can observe a dynamic yet challenging landscape. The line graph above depicts electricity access spanning 1990 to 2021. It is a visual representation of the progress and disparities in electrification in Africa.</w:t>
      </w:r>
    </w:p>
    <w:p w14:paraId="67BBBFEC"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Africa Western and Central (green solid line) shows a commendable steady increase in electricity access. This suggests that initiatives and investments in infrastructure have begun to pay off in that region, although the starting point was quite low. The consistent upward trajectory indicates that more households (percentage of population) are experiencing the benefits of electricity access which can lead to improved quality of life and economic development.</w:t>
      </w:r>
    </w:p>
    <w:p w14:paraId="28BEB7A6" w14:textId="4236F0A2"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Middle East &amp; North Africa*(red dashed line), with higher initial electricity access, continues to improve, albeit at a slower rate. This could be due to already having a relatively developed electrical grid, thus the marginal gains appear less dramatic compared to regions starting from a lower baseline.</w:t>
      </w:r>
    </w:p>
    <w:p w14:paraId="379818E6" w14:textId="50BA4F0B"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*Sub-Saharan Africa (excluding high income) (blue dotted line) depicts a consistent rise in electricity access. However, the overall levels of access are lower compared to the other regions. This highlights the ongoing struggle to provide electricity to all, especially in rural areas where the infrastructure may be lacking or non-existent.</w:t>
      </w:r>
    </w:p>
    <w:p w14:paraId="60FFEEDE"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The shaded areas between the lines suggest that there are overlaps in electricity access percentages among these groups, indicating that no single narrative can fully capture the diverse experiences of electrification across Africa.</w:t>
      </w:r>
    </w:p>
    <w:p w14:paraId="557BA725" w14:textId="7E2F3298"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 xml:space="preserve">However, while there is a clear overall trend of increasing electricity access in Africa, the pace and extent of progress vary widely. The data underscores the need for continued efforts to bridge the electrification gap, particularly in regions that are lagging. It also </w:t>
      </w:r>
      <w:r w:rsidR="0034223F">
        <w:rPr>
          <w:rFonts w:ascii="Times New Roman" w:hAnsi="Times New Roman" w:cs="Times New Roman"/>
          <w:sz w:val="22"/>
          <w:szCs w:val="22"/>
        </w:rPr>
        <w:t>emphasises</w:t>
      </w:r>
      <w:r w:rsidRPr="00C46D28">
        <w:rPr>
          <w:rFonts w:ascii="Times New Roman" w:hAnsi="Times New Roman" w:cs="Times New Roman"/>
          <w:sz w:val="22"/>
          <w:szCs w:val="22"/>
        </w:rPr>
        <w:t xml:space="preserve"> the importance of tailored solutions that consider the unique challenges and opportunities within each region and income group. The goal remains to achieve universal electricity access, which is essential for social and economic development.</w:t>
      </w:r>
    </w:p>
    <w:p w14:paraId="41A3854D" w14:textId="3CB9D283" w:rsidR="00C46D28" w:rsidRPr="003D286A" w:rsidRDefault="00000000" w:rsidP="003D286A">
      <w:pPr>
        <w:pStyle w:val="BodyText"/>
        <w:rPr>
          <w:rFonts w:ascii="Times New Roman" w:hAnsi="Times New Roman" w:cs="Times New Roman"/>
          <w:sz w:val="22"/>
          <w:szCs w:val="22"/>
        </w:rPr>
      </w:pPr>
      <w:r w:rsidRPr="00C46D28">
        <w:rPr>
          <w:rFonts w:ascii="Times New Roman" w:hAnsi="Times New Roman" w:cs="Times New Roman"/>
          <w:sz w:val="22"/>
          <w:szCs w:val="22"/>
        </w:rPr>
        <w:t xml:space="preserve">The data analysis, also reveals that there is a strong connection between electricity access and income group. Regions with high income tend to have </w:t>
      </w:r>
      <w:r w:rsidR="0034223F">
        <w:rPr>
          <w:rFonts w:ascii="Times New Roman" w:hAnsi="Times New Roman" w:cs="Times New Roman"/>
          <w:sz w:val="22"/>
          <w:szCs w:val="22"/>
        </w:rPr>
        <w:t xml:space="preserve">a </w:t>
      </w:r>
      <w:r w:rsidRPr="00C46D28">
        <w:rPr>
          <w:rFonts w:ascii="Times New Roman" w:hAnsi="Times New Roman" w:cs="Times New Roman"/>
          <w:sz w:val="22"/>
          <w:szCs w:val="22"/>
        </w:rPr>
        <w:t>higher percentage of electricity access.</w:t>
      </w:r>
      <w:bookmarkStart w:id="10" w:name="similarities-differences-and-patterns"/>
    </w:p>
    <w:p w14:paraId="2D3C6ACC" w14:textId="2EB06F1D" w:rsidR="00E557C5" w:rsidRPr="00C46D28" w:rsidRDefault="00000000">
      <w:pPr>
        <w:pStyle w:val="Heading2"/>
        <w:rPr>
          <w:rFonts w:ascii="Times New Roman" w:hAnsi="Times New Roman" w:cs="Times New Roman"/>
          <w:color w:val="auto"/>
          <w:sz w:val="24"/>
          <w:szCs w:val="24"/>
        </w:rPr>
      </w:pPr>
      <w:r w:rsidRPr="00C46D28">
        <w:rPr>
          <w:rFonts w:ascii="Times New Roman" w:hAnsi="Times New Roman" w:cs="Times New Roman"/>
          <w:color w:val="auto"/>
          <w:sz w:val="24"/>
          <w:szCs w:val="24"/>
        </w:rPr>
        <w:t>Similarities, Differences and Patterns</w:t>
      </w:r>
    </w:p>
    <w:p w14:paraId="01D9CC89" w14:textId="1CD87EC2" w:rsidR="00E557C5" w:rsidRPr="00C46D28" w:rsidRDefault="00533B41">
      <w:pPr>
        <w:pStyle w:val="Compact"/>
        <w:numPr>
          <w:ilvl w:val="0"/>
          <w:numId w:val="8"/>
        </w:numPr>
        <w:rPr>
          <w:rFonts w:ascii="Times New Roman" w:hAnsi="Times New Roman" w:cs="Times New Roman"/>
          <w:sz w:val="22"/>
          <w:szCs w:val="22"/>
        </w:rPr>
      </w:pPr>
      <w:r w:rsidRPr="00C46D28">
        <w:rPr>
          <w:rFonts w:ascii="Times New Roman" w:hAnsi="Times New Roman" w:cs="Times New Roman"/>
          <w:sz w:val="22"/>
          <w:szCs w:val="22"/>
        </w:rPr>
        <w:t>M</w:t>
      </w:r>
      <w:r w:rsidR="00000000" w:rsidRPr="00C46D28">
        <w:rPr>
          <w:rFonts w:ascii="Times New Roman" w:hAnsi="Times New Roman" w:cs="Times New Roman"/>
          <w:sz w:val="22"/>
          <w:szCs w:val="22"/>
        </w:rPr>
        <w:t>ean electricity access by income and region</w:t>
      </w:r>
    </w:p>
    <w:p w14:paraId="2E4E0F48" w14:textId="22739090" w:rsidR="00533B41" w:rsidRPr="00C46D28" w:rsidRDefault="00533B41" w:rsidP="00C46D28">
      <w:pPr>
        <w:pStyle w:val="Compact"/>
        <w:jc w:val="center"/>
        <w:rPr>
          <w:rFonts w:ascii="Times New Roman" w:hAnsi="Times New Roman" w:cs="Times New Roman"/>
          <w:sz w:val="22"/>
          <w:szCs w:val="22"/>
        </w:rPr>
      </w:pPr>
      <w:r w:rsidRPr="00C46D28">
        <w:rPr>
          <w:noProof/>
          <w:sz w:val="22"/>
          <w:szCs w:val="22"/>
        </w:rPr>
        <w:lastRenderedPageBreak/>
        <w:drawing>
          <wp:inline distT="0" distB="0" distL="0" distR="0" wp14:anchorId="0F5B5F9A" wp14:editId="4E6AA02C">
            <wp:extent cx="4899660" cy="2302736"/>
            <wp:effectExtent l="0" t="0" r="0" b="0"/>
            <wp:docPr id="155024643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6018" cy="2305724"/>
                    </a:xfrm>
                    <a:prstGeom prst="rect">
                      <a:avLst/>
                    </a:prstGeom>
                    <a:noFill/>
                    <a:ln>
                      <a:noFill/>
                    </a:ln>
                  </pic:spPr>
                </pic:pic>
              </a:graphicData>
            </a:graphic>
          </wp:inline>
        </w:drawing>
      </w:r>
    </w:p>
    <w:p w14:paraId="1B884EA2" w14:textId="10E50AE7"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 xml:space="preserve">This graph shows there is a correlation between income category and electricity access. For all regions, it </w:t>
      </w:r>
      <w:r w:rsidR="0034223F">
        <w:rPr>
          <w:rFonts w:ascii="Times New Roman" w:hAnsi="Times New Roman" w:cs="Times New Roman"/>
          <w:sz w:val="22"/>
          <w:szCs w:val="22"/>
        </w:rPr>
        <w:t xml:space="preserve">is </w:t>
      </w:r>
      <w:r w:rsidRPr="00C46D28">
        <w:rPr>
          <w:rFonts w:ascii="Times New Roman" w:hAnsi="Times New Roman" w:cs="Times New Roman"/>
          <w:sz w:val="22"/>
          <w:szCs w:val="22"/>
        </w:rPr>
        <w:t xml:space="preserve">the </w:t>
      </w:r>
      <w:r w:rsidR="0034223F">
        <w:rPr>
          <w:rFonts w:ascii="Times New Roman" w:hAnsi="Times New Roman" w:cs="Times New Roman"/>
          <w:sz w:val="22"/>
          <w:szCs w:val="22"/>
        </w:rPr>
        <w:t>higher-income</w:t>
      </w:r>
      <w:r w:rsidRPr="00C46D28">
        <w:rPr>
          <w:rFonts w:ascii="Times New Roman" w:hAnsi="Times New Roman" w:cs="Times New Roman"/>
          <w:sz w:val="22"/>
          <w:szCs w:val="22"/>
        </w:rPr>
        <w:t xml:space="preserve"> groups that have access greater access to electricity.</w:t>
      </w:r>
      <w:r w:rsidR="0034223F">
        <w:rPr>
          <w:rFonts w:ascii="Times New Roman" w:hAnsi="Times New Roman" w:cs="Times New Roman"/>
          <w:sz w:val="22"/>
          <w:szCs w:val="22"/>
        </w:rPr>
        <w:t xml:space="preserve"> </w:t>
      </w:r>
    </w:p>
    <w:p w14:paraId="573D4C6F" w14:textId="7D646E36"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 xml:space="preserve">-Higher Income, Higher Access: There’s a clear trend where higher-income groups tend to have greater access to electricity. </w:t>
      </w:r>
    </w:p>
    <w:p w14:paraId="65AA15EA"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-Regional Variations: Different regions have varying levels of access, with the Middle East &amp; North Africa generally having higher access than Sub-Saharan Africa for comparable income groups.</w:t>
      </w:r>
    </w:p>
    <w:p w14:paraId="491798CF"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-Income Disparity: There is a significant drop in electricity access as income levels decrease.</w:t>
      </w:r>
    </w:p>
    <w:p w14:paraId="294E1F22"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 xml:space="preserve">The Low-Income group in Sub-Saharan Africa has the lowest access at just </w:t>
      </w:r>
      <w:r w:rsidRPr="00C46D28">
        <w:rPr>
          <w:rFonts w:ascii="Times New Roman" w:hAnsi="Times New Roman" w:cs="Times New Roman"/>
          <w:i/>
          <w:iCs/>
          <w:sz w:val="22"/>
          <w:szCs w:val="22"/>
        </w:rPr>
        <w:t>28.43%</w:t>
      </w:r>
    </w:p>
    <w:p w14:paraId="350D1E57" w14:textId="77777777"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This graph highlights the disparity in electricity access across different income levels and regions, reflecting the broader challenges of energy inequality. It’s a powerful visual representation of how socioeconomic status can impact the quality of life, including basic utilities like electricity.</w:t>
      </w:r>
    </w:p>
    <w:p w14:paraId="5351B1EB" w14:textId="0D09BB5D" w:rsidR="00E557C5" w:rsidRPr="00C46D28" w:rsidRDefault="00C46D28">
      <w:pPr>
        <w:pStyle w:val="Compact"/>
        <w:numPr>
          <w:ilvl w:val="0"/>
          <w:numId w:val="9"/>
        </w:numPr>
        <w:rPr>
          <w:rFonts w:ascii="Times New Roman" w:hAnsi="Times New Roman" w:cs="Times New Roman"/>
          <w:sz w:val="22"/>
          <w:szCs w:val="22"/>
        </w:rPr>
      </w:pPr>
      <w:r>
        <w:rPr>
          <w:rFonts w:ascii="Times New Roman" w:hAnsi="Times New Roman" w:cs="Times New Roman"/>
          <w:sz w:val="22"/>
          <w:szCs w:val="22"/>
        </w:rPr>
        <w:t>I</w:t>
      </w:r>
      <w:r w:rsidR="00000000" w:rsidRPr="00C46D28">
        <w:rPr>
          <w:rFonts w:ascii="Times New Roman" w:hAnsi="Times New Roman" w:cs="Times New Roman"/>
          <w:sz w:val="22"/>
          <w:szCs w:val="22"/>
        </w:rPr>
        <w:t xml:space="preserve">ncome group and region counts/percentage </w:t>
      </w:r>
    </w:p>
    <w:p w14:paraId="7BCD5E32" w14:textId="77777777" w:rsidR="00C46D28" w:rsidRPr="00C46D28" w:rsidRDefault="00C46D28" w:rsidP="00C46D28">
      <w:pPr>
        <w:pStyle w:val="Compact"/>
        <w:rPr>
          <w:rFonts w:ascii="Times New Roman" w:hAnsi="Times New Roman" w:cs="Times New Roman"/>
          <w:sz w:val="22"/>
          <w:szCs w:val="22"/>
        </w:rPr>
      </w:pPr>
    </w:p>
    <w:p w14:paraId="33E19154" w14:textId="1C88E499" w:rsidR="00C46D28" w:rsidRPr="00C46D28" w:rsidRDefault="00C46D28" w:rsidP="00C46D28">
      <w:pPr>
        <w:pStyle w:val="Compact"/>
        <w:jc w:val="center"/>
        <w:rPr>
          <w:rFonts w:ascii="Times New Roman" w:hAnsi="Times New Roman" w:cs="Times New Roman"/>
          <w:sz w:val="22"/>
          <w:szCs w:val="22"/>
        </w:rPr>
      </w:pPr>
      <w:r w:rsidRPr="00C46D28">
        <w:rPr>
          <w:noProof/>
          <w:sz w:val="22"/>
          <w:szCs w:val="22"/>
        </w:rPr>
        <w:drawing>
          <wp:inline distT="0" distB="0" distL="0" distR="0" wp14:anchorId="73CF2DDF" wp14:editId="0FF43D77">
            <wp:extent cx="4222750" cy="2596811"/>
            <wp:effectExtent l="0" t="0" r="0" b="0"/>
            <wp:docPr id="133511228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8528" cy="2600364"/>
                    </a:xfrm>
                    <a:prstGeom prst="rect">
                      <a:avLst/>
                    </a:prstGeom>
                    <a:noFill/>
                    <a:ln>
                      <a:noFill/>
                    </a:ln>
                  </pic:spPr>
                </pic:pic>
              </a:graphicData>
            </a:graphic>
          </wp:inline>
        </w:drawing>
      </w:r>
    </w:p>
    <w:p w14:paraId="002354B3" w14:textId="77777777" w:rsidR="00E557C5" w:rsidRPr="00C46D28" w:rsidRDefault="00000000">
      <w:pPr>
        <w:pStyle w:val="Heading2"/>
        <w:rPr>
          <w:rFonts w:ascii="Times New Roman" w:hAnsi="Times New Roman" w:cs="Times New Roman"/>
          <w:color w:val="auto"/>
          <w:sz w:val="24"/>
          <w:szCs w:val="24"/>
        </w:rPr>
      </w:pPr>
      <w:bookmarkStart w:id="11" w:name="machine-learning-model-development"/>
      <w:bookmarkEnd w:id="10"/>
      <w:r w:rsidRPr="00C46D28">
        <w:rPr>
          <w:rFonts w:ascii="Times New Roman" w:hAnsi="Times New Roman" w:cs="Times New Roman"/>
          <w:color w:val="auto"/>
          <w:sz w:val="24"/>
          <w:szCs w:val="24"/>
        </w:rPr>
        <w:lastRenderedPageBreak/>
        <w:t>Machine Learning Model Development</w:t>
      </w:r>
    </w:p>
    <w:p w14:paraId="6674FFB6" w14:textId="45393881"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 xml:space="preserve">In this project, the dataset used Ridge, Lasso and Linear regression models. </w:t>
      </w:r>
      <w:r w:rsidR="0034223F">
        <w:rPr>
          <w:rFonts w:ascii="Times New Roman" w:hAnsi="Times New Roman" w:cs="Times New Roman"/>
          <w:sz w:val="22"/>
          <w:szCs w:val="22"/>
        </w:rPr>
        <w:t>These</w:t>
      </w:r>
      <w:r w:rsidRPr="00C46D28">
        <w:rPr>
          <w:rFonts w:ascii="Times New Roman" w:hAnsi="Times New Roman" w:cs="Times New Roman"/>
          <w:sz w:val="22"/>
          <w:szCs w:val="22"/>
        </w:rPr>
        <w:t xml:space="preserve"> three models </w:t>
      </w:r>
      <w:r w:rsidR="0034223F">
        <w:rPr>
          <w:rFonts w:ascii="Times New Roman" w:hAnsi="Times New Roman" w:cs="Times New Roman"/>
          <w:sz w:val="22"/>
          <w:szCs w:val="22"/>
        </w:rPr>
        <w:t>power</w:t>
      </w:r>
      <w:r w:rsidRPr="00C46D28">
        <w:rPr>
          <w:rFonts w:ascii="Times New Roman" w:hAnsi="Times New Roman" w:cs="Times New Roman"/>
          <w:sz w:val="22"/>
          <w:szCs w:val="22"/>
        </w:rPr>
        <w:t xml:space="preserve"> the Streamlit App, which </w:t>
      </w:r>
      <w:r w:rsidR="0034223F">
        <w:rPr>
          <w:rFonts w:ascii="Times New Roman" w:hAnsi="Times New Roman" w:cs="Times New Roman"/>
          <w:sz w:val="22"/>
          <w:szCs w:val="22"/>
        </w:rPr>
        <w:t>predicts</w:t>
      </w:r>
      <w:r w:rsidRPr="00C46D28">
        <w:rPr>
          <w:rFonts w:ascii="Times New Roman" w:hAnsi="Times New Roman" w:cs="Times New Roman"/>
          <w:sz w:val="22"/>
          <w:szCs w:val="22"/>
        </w:rPr>
        <w:t xml:space="preserve"> by taking the average of the predictions from the three models.</w:t>
      </w:r>
    </w:p>
    <w:p w14:paraId="3182DB29" w14:textId="77777777" w:rsidR="00E557C5" w:rsidRPr="00C46D28" w:rsidRDefault="00000000">
      <w:pPr>
        <w:pStyle w:val="Heading2"/>
        <w:rPr>
          <w:rFonts w:ascii="Times New Roman" w:hAnsi="Times New Roman" w:cs="Times New Roman"/>
          <w:color w:val="auto"/>
          <w:sz w:val="24"/>
          <w:szCs w:val="24"/>
        </w:rPr>
      </w:pPr>
      <w:bookmarkStart w:id="12" w:name="X94620ccab4e3d2a9f88eb6638f207975e6cfcd0"/>
      <w:bookmarkEnd w:id="11"/>
      <w:r w:rsidRPr="00C46D28">
        <w:rPr>
          <w:rFonts w:ascii="Times New Roman" w:hAnsi="Times New Roman" w:cs="Times New Roman"/>
          <w:color w:val="auto"/>
          <w:sz w:val="24"/>
          <w:szCs w:val="24"/>
        </w:rPr>
        <w:t>Model Deployment and Forecasting Electricity Access (2021-2030)</w:t>
      </w:r>
    </w:p>
    <w:p w14:paraId="041E874B" w14:textId="238A2B6B"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 xml:space="preserve">The models </w:t>
      </w:r>
      <w:r w:rsidR="0034223F">
        <w:rPr>
          <w:rFonts w:ascii="Times New Roman" w:hAnsi="Times New Roman" w:cs="Times New Roman"/>
          <w:sz w:val="22"/>
          <w:szCs w:val="22"/>
        </w:rPr>
        <w:t>were</w:t>
      </w:r>
      <w:r w:rsidRPr="00C46D28">
        <w:rPr>
          <w:rFonts w:ascii="Times New Roman" w:hAnsi="Times New Roman" w:cs="Times New Roman"/>
          <w:sz w:val="22"/>
          <w:szCs w:val="22"/>
        </w:rPr>
        <w:t xml:space="preserve"> deployed as a Streamlit App. Below is the link to the app: https://electricityaccess.streamlit.app/</w:t>
      </w:r>
    </w:p>
    <w:p w14:paraId="22390218" w14:textId="3C27F7E5"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 xml:space="preserve">To use the model for electricity access forecasting, first select a country by clicking the drop-down menu, and then select a lower band (year) and upper band(year) and the app automatically shows a </w:t>
      </w:r>
      <w:r w:rsidR="0034223F">
        <w:rPr>
          <w:rFonts w:ascii="Times New Roman" w:hAnsi="Times New Roman" w:cs="Times New Roman"/>
          <w:sz w:val="22"/>
          <w:szCs w:val="22"/>
        </w:rPr>
        <w:t>visualisation</w:t>
      </w:r>
      <w:r w:rsidRPr="00C46D28">
        <w:rPr>
          <w:rFonts w:ascii="Times New Roman" w:hAnsi="Times New Roman" w:cs="Times New Roman"/>
          <w:sz w:val="22"/>
          <w:szCs w:val="22"/>
        </w:rPr>
        <w:t xml:space="preserve"> of the forecast.</w:t>
      </w:r>
    </w:p>
    <w:p w14:paraId="00120EE4" w14:textId="1FF2F4EA" w:rsidR="00E557C5" w:rsidRPr="00C46D28" w:rsidRDefault="00000000">
      <w:pPr>
        <w:numPr>
          <w:ilvl w:val="0"/>
          <w:numId w:val="10"/>
        </w:numPr>
        <w:rPr>
          <w:rFonts w:ascii="Times New Roman" w:hAnsi="Times New Roman" w:cs="Times New Roman"/>
          <w:sz w:val="22"/>
          <w:szCs w:val="22"/>
        </w:rPr>
      </w:pPr>
      <w:r w:rsidRPr="00C46D28">
        <w:rPr>
          <w:rFonts w:ascii="Times New Roman" w:hAnsi="Times New Roman" w:cs="Times New Roman"/>
          <w:sz w:val="22"/>
          <w:szCs w:val="22"/>
        </w:rPr>
        <w:t>The Streamlit App Interface</w:t>
      </w:r>
    </w:p>
    <w:p w14:paraId="13ECDDE9" w14:textId="00C57E81" w:rsidR="00C46D28" w:rsidRPr="00C46D28" w:rsidRDefault="00C46D28" w:rsidP="00C47121">
      <w:pPr>
        <w:jc w:val="center"/>
        <w:rPr>
          <w:rFonts w:ascii="Times New Roman" w:hAnsi="Times New Roman" w:cs="Times New Roman"/>
          <w:sz w:val="22"/>
          <w:szCs w:val="22"/>
        </w:rPr>
      </w:pPr>
      <w:r w:rsidRPr="00C46D28">
        <w:rPr>
          <w:noProof/>
          <w:sz w:val="22"/>
          <w:szCs w:val="22"/>
        </w:rPr>
        <w:drawing>
          <wp:inline distT="0" distB="0" distL="0" distR="0" wp14:anchorId="0CB13539" wp14:editId="1F475E2A">
            <wp:extent cx="4508500" cy="1831337"/>
            <wp:effectExtent l="0" t="0" r="0" b="0"/>
            <wp:docPr id="209918573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3609" cy="1837474"/>
                    </a:xfrm>
                    <a:prstGeom prst="rect">
                      <a:avLst/>
                    </a:prstGeom>
                    <a:noFill/>
                    <a:ln>
                      <a:noFill/>
                    </a:ln>
                  </pic:spPr>
                </pic:pic>
              </a:graphicData>
            </a:graphic>
          </wp:inline>
        </w:drawing>
      </w:r>
    </w:p>
    <w:p w14:paraId="4FD1EED5" w14:textId="4AA96680" w:rsidR="00E557C5" w:rsidRPr="00C46D28" w:rsidRDefault="00000000">
      <w:pPr>
        <w:numPr>
          <w:ilvl w:val="0"/>
          <w:numId w:val="10"/>
        </w:numPr>
        <w:rPr>
          <w:rFonts w:ascii="Times New Roman" w:hAnsi="Times New Roman" w:cs="Times New Roman"/>
          <w:sz w:val="22"/>
          <w:szCs w:val="22"/>
        </w:rPr>
      </w:pPr>
      <w:r w:rsidRPr="00C46D28">
        <w:rPr>
          <w:rFonts w:ascii="Times New Roman" w:hAnsi="Times New Roman" w:cs="Times New Roman"/>
          <w:sz w:val="22"/>
          <w:szCs w:val="22"/>
        </w:rPr>
        <w:t xml:space="preserve">Example forecast for </w:t>
      </w:r>
      <w:r w:rsidR="0034223F">
        <w:rPr>
          <w:rFonts w:ascii="Times New Roman" w:hAnsi="Times New Roman" w:cs="Times New Roman"/>
          <w:sz w:val="22"/>
          <w:szCs w:val="22"/>
        </w:rPr>
        <w:t>Burundi</w:t>
      </w:r>
      <w:r w:rsidRPr="00C46D28">
        <w:rPr>
          <w:rFonts w:ascii="Times New Roman" w:hAnsi="Times New Roman" w:cs="Times New Roman"/>
          <w:sz w:val="22"/>
          <w:szCs w:val="22"/>
        </w:rPr>
        <w:t xml:space="preserve"> </w:t>
      </w:r>
    </w:p>
    <w:p w14:paraId="7453930F" w14:textId="24D0A27A" w:rsidR="00C46D28" w:rsidRPr="00C46D28" w:rsidRDefault="00C46D28" w:rsidP="00C47121">
      <w:pPr>
        <w:jc w:val="center"/>
        <w:rPr>
          <w:rFonts w:ascii="Times New Roman" w:hAnsi="Times New Roman" w:cs="Times New Roman"/>
          <w:sz w:val="22"/>
          <w:szCs w:val="22"/>
        </w:rPr>
      </w:pPr>
      <w:r w:rsidRPr="00C46D28">
        <w:rPr>
          <w:noProof/>
          <w:sz w:val="22"/>
          <w:szCs w:val="22"/>
        </w:rPr>
        <w:drawing>
          <wp:inline distT="0" distB="0" distL="0" distR="0" wp14:anchorId="0FF91222" wp14:editId="3F39964A">
            <wp:extent cx="4743450" cy="1774233"/>
            <wp:effectExtent l="0" t="0" r="0" b="0"/>
            <wp:docPr id="202077064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1749" cy="1777337"/>
                    </a:xfrm>
                    <a:prstGeom prst="rect">
                      <a:avLst/>
                    </a:prstGeom>
                    <a:noFill/>
                    <a:ln>
                      <a:noFill/>
                    </a:ln>
                  </pic:spPr>
                </pic:pic>
              </a:graphicData>
            </a:graphic>
          </wp:inline>
        </w:drawing>
      </w:r>
    </w:p>
    <w:p w14:paraId="43C44F73" w14:textId="77777777" w:rsidR="00E557C5" w:rsidRPr="00C46D28" w:rsidRDefault="00000000">
      <w:pPr>
        <w:pStyle w:val="Heading1"/>
        <w:rPr>
          <w:rFonts w:ascii="Times New Roman" w:hAnsi="Times New Roman" w:cs="Times New Roman"/>
          <w:color w:val="auto"/>
          <w:sz w:val="28"/>
          <w:szCs w:val="28"/>
        </w:rPr>
      </w:pPr>
      <w:bookmarkStart w:id="13" w:name="results-and-discussion"/>
      <w:bookmarkEnd w:id="9"/>
      <w:bookmarkEnd w:id="12"/>
      <w:r w:rsidRPr="00C46D28">
        <w:rPr>
          <w:rFonts w:ascii="Times New Roman" w:hAnsi="Times New Roman" w:cs="Times New Roman"/>
          <w:color w:val="auto"/>
          <w:sz w:val="28"/>
          <w:szCs w:val="28"/>
        </w:rPr>
        <w:t>Results and Discussion</w:t>
      </w:r>
    </w:p>
    <w:p w14:paraId="5D28CFBC" w14:textId="4FD45C13" w:rsidR="00E557C5" w:rsidRPr="00C46D28" w:rsidRDefault="00000000">
      <w:pPr>
        <w:pStyle w:val="FirstParagraph"/>
        <w:rPr>
          <w:rFonts w:ascii="Times New Roman" w:hAnsi="Times New Roman" w:cs="Times New Roman"/>
          <w:sz w:val="22"/>
          <w:szCs w:val="22"/>
        </w:rPr>
      </w:pPr>
      <w:r w:rsidRPr="00C46D28">
        <w:rPr>
          <w:rFonts w:ascii="Times New Roman" w:hAnsi="Times New Roman" w:cs="Times New Roman"/>
          <w:sz w:val="22"/>
          <w:szCs w:val="22"/>
        </w:rPr>
        <w:t xml:space="preserve">The dataset classified the </w:t>
      </w:r>
      <w:r w:rsidR="0034223F">
        <w:rPr>
          <w:rFonts w:ascii="Times New Roman" w:hAnsi="Times New Roman" w:cs="Times New Roman"/>
          <w:sz w:val="22"/>
          <w:szCs w:val="22"/>
        </w:rPr>
        <w:t>population's</w:t>
      </w:r>
      <w:r w:rsidRPr="00C46D28">
        <w:rPr>
          <w:rFonts w:ascii="Times New Roman" w:hAnsi="Times New Roman" w:cs="Times New Roman"/>
          <w:sz w:val="22"/>
          <w:szCs w:val="22"/>
        </w:rPr>
        <w:t xml:space="preserve"> access to electricity based on income and demography (region). But data analysis of the trends reveals that in all regions people in the higher income bracket had more access to electricity. This could be tied to pricing and affordability by the higher income class. </w:t>
      </w:r>
      <w:r w:rsidR="0034223F">
        <w:rPr>
          <w:rFonts w:ascii="Times New Roman" w:hAnsi="Times New Roman" w:cs="Times New Roman"/>
          <w:sz w:val="22"/>
          <w:szCs w:val="22"/>
        </w:rPr>
        <w:t>Higher-income</w:t>
      </w:r>
      <w:r w:rsidRPr="00C46D28">
        <w:rPr>
          <w:rFonts w:ascii="Times New Roman" w:hAnsi="Times New Roman" w:cs="Times New Roman"/>
          <w:sz w:val="22"/>
          <w:szCs w:val="22"/>
        </w:rPr>
        <w:t xml:space="preserve"> means higher electricity access.</w:t>
      </w:r>
    </w:p>
    <w:p w14:paraId="46FA028B" w14:textId="39E8BC68" w:rsidR="00E557C5" w:rsidRPr="00C46D28" w:rsidRDefault="00000000">
      <w:pPr>
        <w:pStyle w:val="BodyText"/>
        <w:rPr>
          <w:rFonts w:ascii="Times New Roman" w:hAnsi="Times New Roman" w:cs="Times New Roman"/>
          <w:sz w:val="22"/>
          <w:szCs w:val="22"/>
        </w:rPr>
      </w:pPr>
      <w:r w:rsidRPr="00C46D28">
        <w:rPr>
          <w:rFonts w:ascii="Times New Roman" w:hAnsi="Times New Roman" w:cs="Times New Roman"/>
          <w:sz w:val="22"/>
          <w:szCs w:val="22"/>
        </w:rPr>
        <w:t xml:space="preserve">The forecast also suggests that access to electricity in Africa will continue to rise possibly because of the </w:t>
      </w:r>
      <w:r w:rsidR="0034223F">
        <w:rPr>
          <w:rFonts w:ascii="Times New Roman" w:hAnsi="Times New Roman" w:cs="Times New Roman"/>
          <w:sz w:val="22"/>
          <w:szCs w:val="22"/>
        </w:rPr>
        <w:t>increased</w:t>
      </w:r>
      <w:r w:rsidRPr="00C46D28">
        <w:rPr>
          <w:rFonts w:ascii="Times New Roman" w:hAnsi="Times New Roman" w:cs="Times New Roman"/>
          <w:sz w:val="22"/>
          <w:szCs w:val="22"/>
        </w:rPr>
        <w:t xml:space="preserve"> awareness and demand for more power geared towards industrialization.</w:t>
      </w:r>
      <w:r w:rsidR="00C47121">
        <w:rPr>
          <w:rFonts w:ascii="Times New Roman" w:hAnsi="Times New Roman" w:cs="Times New Roman"/>
          <w:sz w:val="22"/>
          <w:szCs w:val="22"/>
        </w:rPr>
        <w:t xml:space="preserve"> </w:t>
      </w:r>
      <w:r w:rsidR="0034223F">
        <w:rPr>
          <w:rFonts w:ascii="Times New Roman" w:hAnsi="Times New Roman" w:cs="Times New Roman"/>
          <w:sz w:val="22"/>
          <w:szCs w:val="22"/>
        </w:rPr>
        <w:t>Governments and agencies must utilize</w:t>
      </w:r>
      <w:r w:rsidRPr="00C46D28">
        <w:rPr>
          <w:rFonts w:ascii="Times New Roman" w:hAnsi="Times New Roman" w:cs="Times New Roman"/>
          <w:sz w:val="22"/>
          <w:szCs w:val="22"/>
        </w:rPr>
        <w:t xml:space="preserve"> the forecast to </w:t>
      </w:r>
      <w:r w:rsidR="0034223F">
        <w:rPr>
          <w:rFonts w:ascii="Times New Roman" w:hAnsi="Times New Roman" w:cs="Times New Roman"/>
          <w:sz w:val="22"/>
          <w:szCs w:val="22"/>
        </w:rPr>
        <w:t>provide</w:t>
      </w:r>
      <w:r w:rsidRPr="00C46D28">
        <w:rPr>
          <w:rFonts w:ascii="Times New Roman" w:hAnsi="Times New Roman" w:cs="Times New Roman"/>
          <w:sz w:val="22"/>
          <w:szCs w:val="22"/>
        </w:rPr>
        <w:t xml:space="preserve"> more infrastructure to increase access to electricity.</w:t>
      </w:r>
      <w:bookmarkEnd w:id="13"/>
    </w:p>
    <w:sectPr w:rsidR="00E557C5" w:rsidRPr="00C46D28" w:rsidSect="00C46D28">
      <w:pgSz w:w="12240" w:h="15840"/>
      <w:pgMar w:top="1440" w:right="1440" w:bottom="1440" w:left="1440"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1FB56" w14:textId="77777777" w:rsidR="009D4237" w:rsidRDefault="009D4237">
      <w:pPr>
        <w:spacing w:after="0"/>
      </w:pPr>
      <w:r>
        <w:separator/>
      </w:r>
    </w:p>
  </w:endnote>
  <w:endnote w:type="continuationSeparator" w:id="0">
    <w:p w14:paraId="5DE6F795" w14:textId="77777777" w:rsidR="009D4237" w:rsidRDefault="009D42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B66E9" w14:textId="77777777" w:rsidR="009D4237" w:rsidRDefault="009D4237">
      <w:r>
        <w:separator/>
      </w:r>
    </w:p>
  </w:footnote>
  <w:footnote w:type="continuationSeparator" w:id="0">
    <w:p w14:paraId="63BCE07F" w14:textId="77777777" w:rsidR="009D4237" w:rsidRDefault="009D42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382F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4A009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7624834"/>
    <w:multiLevelType w:val="hybridMultilevel"/>
    <w:tmpl w:val="DDEC3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C027EB"/>
    <w:multiLevelType w:val="hybridMultilevel"/>
    <w:tmpl w:val="4B323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1804434">
    <w:abstractNumId w:val="0"/>
  </w:num>
  <w:num w:numId="2" w16cid:durableId="2032679512">
    <w:abstractNumId w:val="1"/>
  </w:num>
  <w:num w:numId="3" w16cid:durableId="1883902098">
    <w:abstractNumId w:val="1"/>
  </w:num>
  <w:num w:numId="4" w16cid:durableId="282271154">
    <w:abstractNumId w:val="1"/>
  </w:num>
  <w:num w:numId="5" w16cid:durableId="528446405">
    <w:abstractNumId w:val="1"/>
  </w:num>
  <w:num w:numId="6" w16cid:durableId="1005984043">
    <w:abstractNumId w:val="1"/>
  </w:num>
  <w:num w:numId="7" w16cid:durableId="286350941">
    <w:abstractNumId w:val="1"/>
  </w:num>
  <w:num w:numId="8" w16cid:durableId="523371244">
    <w:abstractNumId w:val="1"/>
  </w:num>
  <w:num w:numId="9" w16cid:durableId="1644195816">
    <w:abstractNumId w:val="1"/>
  </w:num>
  <w:num w:numId="10" w16cid:durableId="1800875521">
    <w:abstractNumId w:val="1"/>
  </w:num>
  <w:num w:numId="11" w16cid:durableId="749810777">
    <w:abstractNumId w:val="2"/>
  </w:num>
  <w:num w:numId="12" w16cid:durableId="298807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57C5"/>
    <w:rsid w:val="0034223F"/>
    <w:rsid w:val="003D286A"/>
    <w:rsid w:val="00533B41"/>
    <w:rsid w:val="009D4237"/>
    <w:rsid w:val="00AB271F"/>
    <w:rsid w:val="00C46D28"/>
    <w:rsid w:val="00C47121"/>
    <w:rsid w:val="00E557C5"/>
    <w:rsid w:val="00FF44B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97E01"/>
  <w15:docId w15:val="{E120116D-B452-4090-B84E-C127D6AF2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C46D28"/>
    <w:pPr>
      <w:tabs>
        <w:tab w:val="center" w:pos="4513"/>
        <w:tab w:val="right" w:pos="9026"/>
      </w:tabs>
      <w:spacing w:after="0"/>
    </w:pPr>
  </w:style>
  <w:style w:type="character" w:customStyle="1" w:styleId="HeaderChar">
    <w:name w:val="Header Char"/>
    <w:basedOn w:val="DefaultParagraphFont"/>
    <w:link w:val="Header"/>
    <w:rsid w:val="00C46D28"/>
  </w:style>
  <w:style w:type="paragraph" w:styleId="Footer">
    <w:name w:val="footer"/>
    <w:basedOn w:val="Normal"/>
    <w:link w:val="FooterChar"/>
    <w:rsid w:val="00C46D28"/>
    <w:pPr>
      <w:tabs>
        <w:tab w:val="center" w:pos="4513"/>
        <w:tab w:val="right" w:pos="9026"/>
      </w:tabs>
      <w:spacing w:after="0"/>
    </w:pPr>
  </w:style>
  <w:style w:type="character" w:customStyle="1" w:styleId="FooterChar">
    <w:name w:val="Footer Char"/>
    <w:basedOn w:val="DefaultParagraphFont"/>
    <w:link w:val="Footer"/>
    <w:rsid w:val="00C46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1585</Words>
  <Characters>9388</Characters>
  <Application>Microsoft Office Word</Application>
  <DocSecurity>0</DocSecurity>
  <Lines>161</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JEEVAL SHAH</cp:lastModifiedBy>
  <cp:revision>5</cp:revision>
  <dcterms:created xsi:type="dcterms:W3CDTF">2024-05-23T17:48:00Z</dcterms:created>
  <dcterms:modified xsi:type="dcterms:W3CDTF">2024-05-23T18:27:00Z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bc2e1d591f3bd742c68c6b29d0fd578df62e98ddaf4532e6716215061e6f5407</vt:lpwstr>
  </property>
</Properties>
</file>