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PharmaChain</w:t>
      </w:r>
    </w:p>
    <w:p>
      <w:pPr>
        <w:pStyle w:val="Heading1"/>
        <w:jc w:val="center"/>
      </w:pPr>
      <w:r>
        <w:t>Secure Pharmaceutical Supply Chain Tracking System</w:t>
      </w:r>
    </w:p>
    <w:p/>
    <w:p>
      <w:pPr>
        <w:jc w:val="center"/>
      </w:pPr>
      <w:r>
        <w:rPr>
          <w:b/>
        </w:rPr>
        <w:t>Course: 24CYS401 - Secure Software Engineering</w:t>
        <w:br/>
      </w:r>
      <w:r>
        <w:rPr>
          <w:b/>
        </w:rPr>
        <w:t>Examination: End Semester Laboratory Examination</w:t>
        <w:br/>
      </w:r>
      <w:r>
        <w:rPr>
          <w:b/>
        </w:rPr>
        <w:t>Domain: Pharmaceutical Supply Chain</w:t>
        <w:br/>
      </w:r>
      <w:r>
        <w:rPr>
          <w:b/>
        </w:rPr>
        <w:t>Team: Jeeva</w:t>
        <w:br/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t>(Right-click in Word and select 'Update Field' after opening.)</w:t>
      </w:r>
    </w:p>
    <w:p>
      <w:r>
        <w:br w:type="page"/>
      </w:r>
    </w:p>
    <w:p>
      <w:pPr>
        <w:pStyle w:val="Heading1"/>
      </w:pPr>
      <w:r>
        <w:t>Global Traceability Thread</w:t>
      </w:r>
    </w:p>
    <w:p>
      <w:r>
        <w:t>SR-03 - Every ownership transfer must be digitally signed, hash-chained, and audit-logged.</w:t>
      </w:r>
    </w:p>
    <w:p>
      <w:r>
        <w:t>This requirement threads through every phase of this report (requirements -&gt; use case -&gt; DFD -&gt; threat -&gt; attack tree -&gt; user story -&gt; sprint -&gt; implementation -&gt; test -&gt; deployment).</w:t>
      </w:r>
    </w:p>
    <w:p>
      <w:r>
        <w:br w:type="page"/>
      </w:r>
    </w:p>
    <w:p>
      <w:pPr>
        <w:pStyle w:val="Heading1"/>
      </w:pPr>
      <w:r>
        <w:t>Phase 1 - Agile Process and Development Approach</w:t>
      </w:r>
    </w:p>
    <w:p>
      <w:pPr>
        <w:pStyle w:val="Heading2"/>
      </w:pPr>
      <w:r>
        <w:t>1.1 Selected Approach: Scrum-XP</w:t>
      </w:r>
    </w:p>
    <w:p>
      <w:r>
        <w:t>Chosen: Scrum with embedded XP (Extreme Programming) practices.</w:t>
      </w:r>
    </w:p>
    <w:p>
      <w:pPr>
        <w:pStyle w:val="Heading3"/>
      </w:pPr>
      <w:r>
        <w:t>Justification</w:t>
      </w:r>
    </w:p>
    <w:p>
      <w:pPr>
        <w:pStyle w:val="ListBullet"/>
      </w:pPr>
      <w:r>
        <w:t>Five independent organizations (Manufacturer, Distributor, Warehouse, Retailer, Customer) operate under FDA DSCSA constraints.</w:t>
      </w:r>
    </w:p>
    <w:p>
      <w:pPr>
        <w:pStyle w:val="ListBullet"/>
      </w:pPr>
      <w:r>
        <w:t>Scrum sprints allow phased cross-organization onboarding (1-2 orgs per sprint).</w:t>
      </w:r>
    </w:p>
    <w:p>
      <w:pPr>
        <w:pStyle w:val="ListBullet"/>
      </w:pPr>
      <w:r>
        <w:t>XP practices (TDD, pair programming, CI, code review) enforce rigor for a security-critical, auditable system.</w:t>
      </w:r>
    </w:p>
    <w:p>
      <w:pPr>
        <w:pStyle w:val="ListBullet"/>
      </w:pPr>
      <w:r>
        <w:t>Regulatory changes (e.g., new FDA serialization rule) enter the backlog as new stories without replanning.</w:t>
      </w:r>
    </w:p>
    <w:p>
      <w:pPr>
        <w:pStyle w:val="ListBullet"/>
      </w:pPr>
      <w:r>
        <w:t>Continuous delivery via CI/CD ships signed, tested Docker images every sprint.</w:t>
      </w:r>
    </w:p>
    <w:p>
      <w:pPr>
        <w:pStyle w:val="Heading3"/>
      </w:pPr>
      <w:r>
        <w:t>Sprint Configuration</w:t>
      </w:r>
    </w:p>
    <w:p>
      <w:pPr>
        <w:pStyle w:val="ListBullet"/>
      </w:pPr>
      <w:r>
        <w:t>Sprint length: 2 weeks</w:t>
      </w:r>
    </w:p>
    <w:p>
      <w:pPr>
        <w:pStyle w:val="ListBullet"/>
      </w:pPr>
      <w:r>
        <w:t>Roles: Product Owner, Scrum Master, Dev Team (4), Security Champion</w:t>
      </w:r>
    </w:p>
    <w:p>
      <w:pPr>
        <w:pStyle w:val="ListBullet"/>
      </w:pPr>
      <w:r>
        <w:t>Ceremonies: Planning, Daily Scrum, Review, Retrospective, Refinement</w:t>
      </w:r>
    </w:p>
    <w:p>
      <w:pPr>
        <w:pStyle w:val="ListBullet"/>
      </w:pPr>
      <w:r>
        <w:t>XP practices: TDD, Pair Programming, CI, Small Releases, Simple Design</w:t>
      </w:r>
    </w:p>
    <w:p>
      <w:pPr>
        <w:pStyle w:val="Heading2"/>
      </w:pPr>
      <w:r>
        <w:t>1.2 Agile Manifesto Mapping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#</w:t>
            </w:r>
          </w:p>
        </w:tc>
        <w:tc>
          <w:tcPr>
            <w:tcW w:type="dxa" w:w="2880"/>
          </w:tcPr>
          <w:p>
            <w:r>
              <w:t>Principle</w:t>
            </w:r>
          </w:p>
        </w:tc>
        <w:tc>
          <w:tcPr>
            <w:tcW w:type="dxa" w:w="2880"/>
          </w:tcPr>
          <w:p>
            <w:r>
              <w:t>Application to PharmaChain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Individuals &amp; interactions over processes/tools</w:t>
            </w:r>
          </w:p>
        </w:tc>
        <w:tc>
          <w:tcPr>
            <w:tcW w:type="dxa" w:w="2880"/>
          </w:tcPr>
          <w:p>
            <w:r>
              <w:t>Cross-org daily scrums jointly resolve shipment discrepancies.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Working software over comprehensive documentation</w:t>
            </w:r>
          </w:p>
        </w:tc>
        <w:tc>
          <w:tcPr>
            <w:tcW w:type="dxa" w:w="2880"/>
          </w:tcPr>
          <w:p>
            <w:r>
              <w:t>Each sprint ships a running module deployable in Minikube.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Customer collaboration over contract negotiation</w:t>
            </w:r>
          </w:p>
        </w:tc>
        <w:tc>
          <w:tcPr>
            <w:tcW w:type="dxa" w:w="2880"/>
          </w:tcPr>
          <w:p>
            <w:r>
              <w:t>Retailer + patient feedback in Sprint Review shapes usability.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Responding to change over following a plan</w:t>
            </w:r>
          </w:p>
        </w:tc>
        <w:tc>
          <w:tcPr>
            <w:tcW w:type="dxa" w:w="2880"/>
          </w:tcPr>
          <w:p>
            <w:r>
              <w:t>New FDA rule becomes a new backlog story - no replan.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Continuous delivery of valuable software</w:t>
            </w:r>
          </w:p>
        </w:tc>
        <w:tc>
          <w:tcPr>
            <w:tcW w:type="dxa" w:w="2880"/>
          </w:tcPr>
          <w:p>
            <w:r>
              <w:t>CI/CD delivers signed Docker images on every merge to main.</w:t>
            </w:r>
          </w:p>
        </w:tc>
      </w:tr>
    </w:tbl>
    <w:p>
      <w:pPr>
        <w:pStyle w:val="Heading2"/>
      </w:pPr>
      <w:r>
        <w:t>1.3 Refactoring Evidence</w:t>
      </w:r>
    </w:p>
    <w:p>
      <w:pPr>
        <w:pStyle w:val="Heading3"/>
      </w:pPr>
      <w:r>
        <w:t>Refactoring 1: Ownership Transfer (Monolithic to Layered)</w:t>
      </w:r>
    </w:p>
    <w:p>
      <w:r>
        <w:t>Before (v1 - insecure):</w:t>
      </w:r>
    </w:p>
    <w:p>
      <w:pPr>
        <w:pStyle w:val="NoSpacing"/>
      </w:pPr>
      <w:r>
        <w:t>@app.post('/transfer')</w:t>
        <w:br/>
        <w:t>def transfer(product_id, new_owner):</w:t>
        <w:br/>
        <w:t xml:space="preserve">    conn = sqlite3.connect('pharmachain.db')</w:t>
        <w:br/>
        <w:t xml:space="preserve">    cur = conn.cursor()</w:t>
        <w:br/>
        <w:t xml:space="preserve">    cur.execute(f"SELECT * FROM products WHERE id='{product_id}'")  # SQLi</w:t>
        <w:br/>
        <w:t xml:space="preserve">    product = cur.fetchone()</w:t>
        <w:br/>
        <w:t xml:space="preserve">    if product:</w:t>
        <w:br/>
        <w:t xml:space="preserve">        cur.execute(f"UPDATE products SET owner='{new_owner}' WHERE id='{product_id}'")</w:t>
        <w:br/>
        <w:t xml:space="preserve">        conn.commit()  # no auth, no audit, no signature</w:t>
        <w:br/>
        <w:t xml:space="preserve">    return {'status': 'ok'}</w:t>
      </w:r>
    </w:p>
    <w:p>
      <w:r>
        <w:t>After (v2 - secure, layered):</w:t>
      </w:r>
    </w:p>
    <w:p>
      <w:pPr>
        <w:pStyle w:val="NoSpacing"/>
      </w:pPr>
      <w:r>
        <w:t>class OwnershipService:</w:t>
        <w:br/>
        <w:t xml:space="preserve">    def transfer(self, product_id, new_owner, actor, signature):</w:t>
        <w:br/>
        <w:t xml:space="preserve">        self.authz.require(actor, 'TRANSFER_OWNERSHIP', product_id)</w:t>
        <w:br/>
        <w:t xml:space="preserve">        self.signer.verify(actor, product_id, new_owner, signature)</w:t>
        <w:br/>
        <w:t xml:space="preserve">        product = self.repo.get(product_id)</w:t>
        <w:br/>
        <w:t xml:space="preserve">        with self.repo.transaction():</w:t>
        <w:br/>
        <w:t xml:space="preserve">            product.owner = new_owner</w:t>
        <w:br/>
        <w:t xml:space="preserve">            self.repo.save(product)</w:t>
        <w:br/>
        <w:t xml:space="preserve">            tx_hash = self.ledger.append({...})</w:t>
        <w:br/>
        <w:t xml:space="preserve">        self.audit.log(actor, 'TRANSFER', product_id, tx_hash)</w:t>
        <w:br/>
        <w:t xml:space="preserve">        return TransferResult(True, tx_hash)</w:t>
      </w:r>
    </w:p>
    <w:p>
      <w:r>
        <w:rPr>
          <w:b/>
        </w:rPr>
        <w:t xml:space="preserve">Improvements: </w:t>
      </w:r>
      <w:r>
        <w:t>Eliminated SQL injection, added RBAC + ABAC, digital signature (non-repudiation), immutable ledger, audit log, and dependency injection for testability.</w:t>
      </w:r>
    </w:p>
    <w:p>
      <w:pPr>
        <w:pStyle w:val="Heading3"/>
      </w:pPr>
      <w:r>
        <w:t>Refactoring 2: Serial Uniqueness Validation (DRY)</w:t>
      </w:r>
    </w:p>
    <w:p>
      <w:r>
        <w:t>Before: duplicated uniqueness check in 4 services (product_registration, shipment_service, warehouse_receipt, delivery).</w:t>
      </w:r>
    </w:p>
    <w:p>
      <w:r>
        <w:t>After: single SerialValidator class with parameterized query, called by every service. Single point of change, consistent errors, testable.</w:t>
      </w:r>
    </w:p>
    <w:p>
      <w:pPr>
        <w:pStyle w:val="Heading2"/>
      </w:pPr>
      <w:r>
        <w:t>1.4 Limitations of Agile for a Security-Critical System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Limitation / Risk</w:t>
            </w:r>
          </w:p>
        </w:tc>
        <w:tc>
          <w:tcPr>
            <w:tcW w:type="dxa" w:w="4320"/>
          </w:tcPr>
          <w:p>
            <w:r>
              <w:t>Mitigation</w:t>
            </w:r>
          </w:p>
        </w:tc>
      </w:tr>
      <w:tr>
        <w:tc>
          <w:tcPr>
            <w:tcW w:type="dxa" w:w="4320"/>
          </w:tcPr>
          <w:p>
            <w:r>
              <w:t>Under-specified security requirements in fast sprints</w:t>
            </w:r>
          </w:p>
        </w:tc>
        <w:tc>
          <w:tcPr>
            <w:tcW w:type="dxa" w:w="4320"/>
          </w:tcPr>
          <w:p>
            <w:r>
              <w:t>Add abuse stories + Definition of Done requires STRIDE review</w:t>
            </w:r>
          </w:p>
        </w:tc>
      </w:tr>
      <w:tr>
        <w:tc>
          <w:tcPr>
            <w:tcW w:type="dxa" w:w="4320"/>
          </w:tcPr>
          <w:p>
            <w:r>
              <w:t>Informal cross-org communication may cause API contract drift</w:t>
            </w:r>
          </w:p>
        </w:tc>
        <w:tc>
          <w:tcPr>
            <w:tcW w:type="dxa" w:w="4320"/>
          </w:tcPr>
          <w:p>
            <w:r>
              <w:t>Freeze OpenAPI contracts at sprint start; CI validates schema</w:t>
            </w:r>
          </w:p>
        </w:tc>
      </w:tr>
      <w:tr>
        <w:tc>
          <w:tcPr>
            <w:tcW w:type="dxa" w:w="4320"/>
          </w:tcPr>
          <w:p>
            <w:r>
              <w:t>Regulatory compliance demands documentation Agile de-emphasizes</w:t>
            </w:r>
          </w:p>
        </w:tc>
        <w:tc>
          <w:tcPr>
            <w:tcW w:type="dxa" w:w="4320"/>
          </w:tcPr>
          <w:p>
            <w:r>
              <w:t>Auto-generated Compliance Traceability Matrix</w:t>
            </w:r>
          </w:p>
        </w:tc>
      </w:tr>
      <w:tr>
        <w:tc>
          <w:tcPr>
            <w:tcW w:type="dxa" w:w="4320"/>
          </w:tcPr>
          <w:p>
            <w:r>
              <w:t>Velocity pressure may tempt skipping security testing</w:t>
            </w:r>
          </w:p>
        </w:tc>
        <w:tc>
          <w:tcPr>
            <w:tcW w:type="dxa" w:w="4320"/>
          </w:tcPr>
          <w:p>
            <w:r>
              <w:t>SAST + dependency scan mandatory for Definition of Done</w:t>
            </w:r>
          </w:p>
        </w:tc>
      </w:tr>
      <w:tr>
        <w:tc>
          <w:tcPr>
            <w:tcW w:type="dxa" w:w="4320"/>
          </w:tcPr>
          <w:p>
            <w:r>
              <w:t>Cross-org governance ambiguity - who owns the backlog?</w:t>
            </w:r>
          </w:p>
        </w:tc>
        <w:tc>
          <w:tcPr>
            <w:tcW w:type="dxa" w:w="4320"/>
          </w:tcPr>
          <w:p>
            <w:r>
              <w:t>Steering Committee (one rep per org) as PO delegate</w:t>
            </w:r>
          </w:p>
        </w:tc>
      </w:tr>
    </w:tbl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