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>
      <w:pPr>
        <w:jc w:val="center"/>
      </w:pPr>
      <w:r>
        <w:rPr>
          <w:color w:val="2E74B5"/>
          <w:sz w:val="32"/>
        </w:rPr>
        <w:t>Secure Pharmaceutical Supply Chain Tracking System</w:t>
      </w:r>
    </w:p>
    <w:p/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/>
    <w:p/>
    <w:p/>
    <w:p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Table of Contents</w:t>
      </w:r>
    </w:p>
    <w:p>
      <w:r>
        <w:t>(In Word: right-click below and choose 'Update Field' to populate. Or use References -&gt; Table of Contents.)</w:t>
      </w:r>
    </w:p>
    <w:p/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Global Traceability Thread</w:t>
      </w:r>
    </w:p>
    <w:p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1 - Agile Process and Development Approach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1.1 Selected Approach: Scrum-XP</w:t>
      </w:r>
    </w:p>
    <w:p>
      <w:r>
        <w:t>Chosen: Scrum with embedded XP (Extreme Programming) practices.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1.2 Agile Manifesto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Individuals &amp; interactions over processes/tools</w:t>
            </w:r>
          </w:p>
        </w:tc>
        <w:tc>
          <w:tcPr>
            <w:tcW w:type="dxa" w:w="3249"/>
            <w:vAlign w:val="center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Working software over comprehensive documentation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Customer collaboration over contract negotiation</w:t>
            </w:r>
          </w:p>
        </w:tc>
        <w:tc>
          <w:tcPr>
            <w:tcW w:type="dxa" w:w="3249"/>
            <w:vAlign w:val="center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Responding to change over following a plan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Continuous delivery of valuable software</w:t>
            </w:r>
          </w:p>
        </w:tc>
        <w:tc>
          <w:tcPr>
            <w:tcW w:type="dxa" w:w="3249"/>
            <w:vAlign w:val="center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1.3 Refactoring Evidence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1: Ownership Transfer (Monolithic to Layered)</w:t>
      </w:r>
    </w:p>
    <w:p>
      <w:r>
        <w:t>Before (v1 - insecure):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@app.post('/transfer')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def transfer(product_id, new_owner):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if product: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>
      <w:pPr>
        <w:spacing w:after="80"/>
      </w:pPr>
    </w:p>
    <w:p>
      <w:r>
        <w:t>After (v2 - secure, layered):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class OwnershipService: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>
      <w:pPr>
        <w:spacing w:after="80"/>
      </w:pP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1.4 Limitations of Agile for a Security-Critical System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Under-specified security requirements in fast sprints</w:t>
            </w:r>
          </w:p>
        </w:tc>
        <w:tc>
          <w:tcPr>
            <w:tcW w:type="dxa" w:w="4873"/>
            <w:vAlign w:val="center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Informal cross-org communication may cause API contract drift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873"/>
            <w:vAlign w:val="center"/>
          </w:tcPr>
          <w:p>
            <w:r>
              <w:t>Regulatory compliance demands documentation Agile de-emphasizes</w:t>
            </w:r>
          </w:p>
        </w:tc>
        <w:tc>
          <w:tcPr>
            <w:tcW w:type="dxa" w:w="4873"/>
            <w:vAlign w:val="center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pressure may tempt skipping security testing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governance ambiguity - who owns the backlog?</w:t>
            </w:r>
          </w:p>
        </w:tc>
        <w:tc>
          <w:tcPr>
            <w:tcW w:type="dxa" w:w="4873"/>
            <w:vAlign w:val="center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2 - Requirements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2.1 Stakeholders and User Types</w:t>
      </w:r>
    </w:p>
    <w:p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Concern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Manufacturer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Create and serialize drug products</w:t>
            </w:r>
          </w:p>
        </w:tc>
        <w:tc>
          <w:tcPr>
            <w:tcW w:type="dxa" w:w="1949"/>
            <w:vAlign w:val="center"/>
          </w:tcPr>
          <w:p>
            <w:r>
              <w:t>Anti-counterfeit, batch traceability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Move products between orgs, transfer ownership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Non-repudiation of transfer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Warehouse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Receive, store, dispatch shipments</w:t>
            </w:r>
          </w:p>
        </w:tc>
        <w:tc>
          <w:tcPr>
            <w:tcW w:type="dxa" w:w="1949"/>
            <w:vAlign w:val="center"/>
          </w:tcPr>
          <w:p>
            <w:r>
              <w:t>Tamper-proof receipts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Receive products, sell to customers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Authenticity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Customer / Patient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Verify drug authenticity</w:t>
            </w:r>
          </w:p>
        </w:tc>
        <w:tc>
          <w:tcPr>
            <w:tcW w:type="dxa" w:w="1949"/>
            <w:vAlign w:val="center"/>
          </w:tcPr>
          <w:p>
            <w:r>
              <w:t>Trust, privacy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Auditor / Regulator (FDA)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Secondary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Inspect immutable history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Compliance, tamper evidence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System Administrator</w:t>
            </w:r>
          </w:p>
        </w:tc>
        <w:tc>
          <w:tcPr>
            <w:tcW w:type="dxa" w:w="1949"/>
            <w:vAlign w:val="center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</w:tcPr>
          <w:p>
            <w:r>
              <w:t>Onboard orgs, manage keys</w:t>
            </w:r>
          </w:p>
        </w:tc>
        <w:tc>
          <w:tcPr>
            <w:tcW w:type="dxa" w:w="1949"/>
            <w:vAlign w:val="center"/>
          </w:tcPr>
          <w:p>
            <w:r>
              <w:t>Least privilege, key lifecycle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Monitor anomalies and threats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Real-time alerts, SIEM</w:t>
            </w:r>
          </w:p>
        </w:tc>
      </w:tr>
    </w:tbl>
    <w:p/>
    <w:p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2.2 Functional Requirements (FR)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FR-01</w:t>
            </w:r>
          </w:p>
        </w:tc>
        <w:tc>
          <w:tcPr>
            <w:tcW w:type="dxa" w:w="2436"/>
            <w:vAlign w:val="center"/>
          </w:tcPr>
          <w:p>
            <w:r>
              <w:t>Register a new product with a globally unique serial number</w:t>
            </w:r>
          </w:p>
        </w:tc>
        <w:tc>
          <w:tcPr>
            <w:tcW w:type="dxa" w:w="2436"/>
            <w:vAlign w:val="center"/>
          </w:tcPr>
          <w:p>
            <w:r>
              <w:t>Manufacturer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Create a shipment linking source org, destination org, product batch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Distributor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FR-03</w:t>
            </w:r>
          </w:p>
        </w:tc>
        <w:tc>
          <w:tcPr>
            <w:tcW w:type="dxa" w:w="2436"/>
            <w:vAlign w:val="center"/>
          </w:tcPr>
          <w:p>
            <w:r>
              <w:t>Confirm warehouse receipt with seal/hash verification</w:t>
            </w:r>
          </w:p>
        </w:tc>
        <w:tc>
          <w:tcPr>
            <w:tcW w:type="dxa" w:w="2436"/>
            <w:vAlign w:val="center"/>
          </w:tcPr>
          <w:p>
            <w:r>
              <w:t>Warehouse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Transfer ownership between organizations with signature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FR-05</w:t>
            </w:r>
          </w:p>
        </w:tc>
        <w:tc>
          <w:tcPr>
            <w:tcW w:type="dxa" w:w="2436"/>
            <w:vAlign w:val="center"/>
          </w:tcPr>
          <w:p>
            <w:r>
              <w:t>Confirm delivery to retailer / customer</w:t>
            </w:r>
          </w:p>
        </w:tc>
        <w:tc>
          <w:tcPr>
            <w:tcW w:type="dxa" w:w="2436"/>
            <w:vAlign w:val="center"/>
          </w:tcPr>
          <w:p>
            <w:r>
              <w:t>Retailer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Query product status and full history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Any authenticated actor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FR-07</w:t>
            </w:r>
          </w:p>
        </w:tc>
        <w:tc>
          <w:tcPr>
            <w:tcW w:type="dxa" w:w="2436"/>
            <w:vAlign w:val="center"/>
          </w:tcPr>
          <w:p>
            <w:r>
              <w:t>Verify product authenticity via QR / serial lookup</w:t>
            </w:r>
          </w:p>
        </w:tc>
        <w:tc>
          <w:tcPr>
            <w:tcW w:type="dxa" w:w="2436"/>
            <w:vAlign w:val="center"/>
          </w:tcPr>
          <w:p>
            <w:r>
              <w:t>Customer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View immutable audit trail (read-only)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FR-09</w:t>
            </w:r>
          </w:p>
        </w:tc>
        <w:tc>
          <w:tcPr>
            <w:tcW w:type="dxa" w:w="2436"/>
            <w:vAlign w:val="center"/>
          </w:tcPr>
          <w:p>
            <w:r>
              <w:t>Onboard / offboard an organization with PKI certificate</w:t>
            </w:r>
          </w:p>
        </w:tc>
        <w:tc>
          <w:tcPr>
            <w:tcW w:type="dxa" w:w="2436"/>
            <w:vAlign w:val="center"/>
          </w:tcPr>
          <w:p>
            <w:r>
              <w:t>Admin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Rotate or revoke signing keys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Admin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FR-11</w:t>
            </w:r>
          </w:p>
        </w:tc>
        <w:tc>
          <w:tcPr>
            <w:tcW w:type="dxa" w:w="2436"/>
            <w:vAlign w:val="center"/>
          </w:tcPr>
          <w:p>
            <w:r>
              <w:t>Raise and resolve a dispute between organizations</w:t>
            </w:r>
          </w:p>
        </w:tc>
        <w:tc>
          <w:tcPr>
            <w:tcW w:type="dxa" w:w="2436"/>
            <w:vAlign w:val="center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Trigger product recall (trace backward to source)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FR-13</w:t>
            </w:r>
          </w:p>
        </w:tc>
        <w:tc>
          <w:tcPr>
            <w:tcW w:type="dxa" w:w="2436"/>
            <w:vAlign w:val="center"/>
          </w:tcPr>
          <w:p>
            <w:r>
              <w:t>Receive real-time shipment status notifications</w:t>
            </w:r>
          </w:p>
        </w:tc>
        <w:tc>
          <w:tcPr>
            <w:tcW w:type="dxa" w:w="2436"/>
            <w:vAlign w:val="center"/>
          </w:tcPr>
          <w:p>
            <w:r>
              <w:t>All logistics actors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Detect anomalous ownership transfers (rule/ML based)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2.3 Non-Functional Requirements (NFR)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NFR-01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System uptime</w:t>
            </w:r>
          </w:p>
        </w:tc>
        <w:tc>
          <w:tcPr>
            <w:tcW w:type="dxa" w:w="2436"/>
            <w:vAlign w:val="center"/>
          </w:tcPr>
          <w:p>
            <w:r>
              <w:t>99.9% (monthly)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Performance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history lookup latency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p95 &lt; 1s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NFR-03</w:t>
            </w:r>
          </w:p>
        </w:tc>
        <w:tc>
          <w:tcPr>
            <w:tcW w:type="dxa" w:w="2436"/>
            <w:vAlign w:val="center"/>
          </w:tcPr>
          <w:p>
            <w:r>
              <w:t>Scalability</w:t>
            </w:r>
          </w:p>
        </w:tc>
        <w:tc>
          <w:tcPr>
            <w:tcW w:type="dxa" w:w="2436"/>
            <w:vAlign w:val="center"/>
          </w:tcPr>
          <w:p>
            <w:r>
              <w:t>Concurrent shipments per day</w:t>
            </w:r>
          </w:p>
        </w:tc>
        <w:tc>
          <w:tcPr>
            <w:tcW w:type="dxa" w:w="2436"/>
            <w:vAlign w:val="center"/>
          </w:tcPr>
          <w:p>
            <w:r>
              <w:t>10,000+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Scalability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Organizations onboarded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100+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NFR-05</w:t>
            </w:r>
          </w:p>
        </w:tc>
        <w:tc>
          <w:tcPr>
            <w:tcW w:type="dxa" w:w="2436"/>
            <w:vAlign w:val="center"/>
          </w:tcPr>
          <w:p>
            <w:r>
              <w:t>Interoperability</w:t>
            </w:r>
          </w:p>
        </w:tc>
        <w:tc>
          <w:tcPr>
            <w:tcW w:type="dxa" w:w="2436"/>
            <w:vAlign w:val="center"/>
          </w:tcPr>
          <w:p>
            <w:r>
              <w:t>Standards compliance</w:t>
            </w:r>
          </w:p>
        </w:tc>
        <w:tc>
          <w:tcPr>
            <w:tcW w:type="dxa" w:w="2436"/>
            <w:vAlign w:val="center"/>
          </w:tcPr>
          <w:p>
            <w:r>
              <w:t>GS1 EPCIS 2.0, FDA DSCSA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Privacy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Customer PII handling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GDPR + HIPAA-aligned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NFR-07</w:t>
            </w:r>
          </w:p>
        </w:tc>
        <w:tc>
          <w:tcPr>
            <w:tcW w:type="dxa" w:w="2436"/>
            <w:vAlign w:val="center"/>
          </w:tcPr>
          <w:p>
            <w:r>
              <w:t>Maintainability</w:t>
            </w:r>
          </w:p>
        </w:tc>
        <w:tc>
          <w:tcPr>
            <w:tcW w:type="dxa" w:w="2436"/>
            <w:vAlign w:val="center"/>
          </w:tcPr>
          <w:p>
            <w:r>
              <w:t>Test coverage on critical modules</w:t>
            </w:r>
          </w:p>
        </w:tc>
        <w:tc>
          <w:tcPr>
            <w:tcW w:type="dxa" w:w="2436"/>
            <w:vAlign w:val="center"/>
          </w:tcPr>
          <w:p>
            <w:r>
              <w:t>&gt;= 80%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Disaster Recovery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/ RTO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&lt;= 5 min, RTO &lt;= 1 hour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NFR-09</w:t>
            </w:r>
          </w:p>
        </w:tc>
        <w:tc>
          <w:tcPr>
            <w:tcW w:type="dxa" w:w="2436"/>
            <w:vAlign w:val="center"/>
          </w:tcPr>
          <w:p>
            <w:r>
              <w:t>Auditability</w:t>
            </w:r>
          </w:p>
        </w:tc>
        <w:tc>
          <w:tcPr>
            <w:tcW w:type="dxa" w:w="2436"/>
            <w:vAlign w:val="center"/>
          </w:tcPr>
          <w:p>
            <w:r>
              <w:t>Log retention</w:t>
            </w:r>
          </w:p>
        </w:tc>
        <w:tc>
          <w:tcPr>
            <w:tcW w:type="dxa" w:w="2436"/>
            <w:vAlign w:val="center"/>
          </w:tcPr>
          <w:p>
            <w:r>
              <w:t>7 years (pharma regulation)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Common operation time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&lt;= 3 clicks for status check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2.4 Security Requirements (SR)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CIA/Auth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SR-01</w:t>
            </w:r>
          </w:p>
        </w:tc>
        <w:tc>
          <w:tcPr>
            <w:tcW w:type="dxa" w:w="2436"/>
            <w:vAlign w:val="center"/>
          </w:tcPr>
          <w:p>
            <w:r>
              <w:t>Authentication</w:t>
            </w:r>
          </w:p>
        </w:tc>
        <w:tc>
          <w:tcPr>
            <w:tcW w:type="dxa" w:w="2436"/>
            <w:vAlign w:val="center"/>
          </w:tcPr>
          <w:p>
            <w:r>
              <w:t>Multi-factor authentication per user</w:t>
            </w:r>
          </w:p>
        </w:tc>
        <w:tc>
          <w:tcPr>
            <w:tcW w:type="dxa" w:w="2436"/>
            <w:vAlign w:val="center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Authentication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mTLS between organizations (PKI)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SR-03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Every ownership transfer must be digitally signed, hash-chained, and audit-logged</w:t>
            </w:r>
          </w:p>
        </w:tc>
        <w:tc>
          <w:tcPr>
            <w:tcW w:type="dxa" w:w="2436"/>
            <w:vAlign w:val="center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Integrity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records SHA-256 hashed on every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SR-05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Anti-replay via nonce + timestamp on every signed write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Role-Based Access Control (RBAC) per role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SR-07</w:t>
            </w:r>
          </w:p>
        </w:tc>
        <w:tc>
          <w:tcPr>
            <w:tcW w:type="dxa" w:w="2436"/>
            <w:vAlign w:val="center"/>
          </w:tcPr>
          <w:p>
            <w:r>
              <w:t>Authorization</w:t>
            </w:r>
          </w:p>
        </w:tc>
        <w:tc>
          <w:tcPr>
            <w:tcW w:type="dxa" w:w="2436"/>
            <w:vAlign w:val="center"/>
          </w:tcPr>
          <w:p>
            <w:r>
              <w:t>Attribute-Based Access Control (ABAC) per organization</w:t>
            </w:r>
          </w:p>
        </w:tc>
        <w:tc>
          <w:tcPr>
            <w:tcW w:type="dxa" w:w="2436"/>
            <w:vAlign w:val="center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Confidentiality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TLS 1.3 in transit, AES-256 at rest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SR-09</w:t>
            </w:r>
          </w:p>
        </w:tc>
        <w:tc>
          <w:tcPr>
            <w:tcW w:type="dxa" w:w="2436"/>
            <w:vAlign w:val="center"/>
          </w:tcPr>
          <w:p>
            <w:r>
              <w:t>Confidentiality</w:t>
            </w:r>
          </w:p>
        </w:tc>
        <w:tc>
          <w:tcPr>
            <w:tcW w:type="dxa" w:w="2436"/>
            <w:vAlign w:val="center"/>
          </w:tcPr>
          <w:p>
            <w:r>
              <w:t>Field-level encryption for customer PII</w:t>
            </w:r>
          </w:p>
        </w:tc>
        <w:tc>
          <w:tcPr>
            <w:tcW w:type="dxa" w:w="2436"/>
            <w:vAlign w:val="center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Append-only immutable audit log of every state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SR-11</w:t>
            </w:r>
          </w:p>
        </w:tc>
        <w:tc>
          <w:tcPr>
            <w:tcW w:type="dxa" w:w="2436"/>
            <w:vAlign w:val="center"/>
          </w:tcPr>
          <w:p>
            <w:r>
              <w:t>Audit</w:t>
            </w:r>
          </w:p>
        </w:tc>
        <w:tc>
          <w:tcPr>
            <w:tcW w:type="dxa" w:w="2436"/>
            <w:vAlign w:val="center"/>
          </w:tcPr>
          <w:p>
            <w:r>
              <w:t>Logs forwarded to SIEM with tamper-evident hashing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Non-Repudiation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Digital signatures on all state-changing actions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SR-13</w:t>
            </w:r>
          </w:p>
        </w:tc>
        <w:tc>
          <w:tcPr>
            <w:tcW w:type="dxa" w:w="2436"/>
            <w:vAlign w:val="center"/>
          </w:tcPr>
          <w:p>
            <w:r>
              <w:t>Key Management</w:t>
            </w:r>
          </w:p>
        </w:tc>
        <w:tc>
          <w:tcPr>
            <w:tcW w:type="dxa" w:w="2436"/>
            <w:vAlign w:val="center"/>
          </w:tcPr>
          <w:p>
            <w:r>
              <w:t>HSM-backed keys, 90-day rotation</w:t>
            </w:r>
          </w:p>
        </w:tc>
        <w:tc>
          <w:tcPr>
            <w:tcW w:type="dxa" w:w="2436"/>
            <w:vAlign w:val="center"/>
          </w:tcPr>
          <w:p>
            <w:r>
              <w:t>C, 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Alert on duplicate serial, odd-hour transfer, or unusual pattern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SR-15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DDoS protection at API Gateway</w:t>
            </w:r>
          </w:p>
        </w:tc>
        <w:tc>
          <w:tcPr>
            <w:tcW w:type="dxa" w:w="2436"/>
            <w:vAlign w:val="center"/>
          </w:tcPr>
          <w:p>
            <w:r>
              <w:t>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Trust Boundaries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Cross-org calls only via authenticated, signed APIs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Auth, I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2.5 Prioritization (MoSCoW)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Must Have</w:t>
            </w:r>
          </w:p>
        </w:tc>
        <w:tc>
          <w:tcPr>
            <w:tcW w:type="dxa" w:w="4873"/>
            <w:vAlign w:val="center"/>
          </w:tcPr>
          <w:p>
            <w:r>
              <w:t>FR-01..FR-05, FR-08, FR-09, SR-01..SR-12, NFR-01, NFR-06, NFR-09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Should Have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FR-06, FR-07, FR-10..FR-12, SR-13..SR-16, NFR-02..NFR-05, NFR-07</w:t>
            </w:r>
          </w:p>
        </w:tc>
      </w:tr>
      <w:tr>
        <w:tc>
          <w:tcPr>
            <w:tcW w:type="dxa" w:w="4873"/>
            <w:vAlign w:val="center"/>
          </w:tcPr>
          <w:p>
            <w:r>
              <w:t>Could Have</w:t>
            </w:r>
          </w:p>
        </w:tc>
        <w:tc>
          <w:tcPr>
            <w:tcW w:type="dxa" w:w="4873"/>
            <w:vAlign w:val="center"/>
          </w:tcPr>
          <w:p>
            <w:r>
              <w:t>FR-13, FR-14, NFR-08, NFR-10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Won't Have (this release)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Public blockchain anchoring, cross-chain interop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2.6 CIA / Auth / Authz / Audit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Confidentiality (C)</w:t>
            </w:r>
          </w:p>
        </w:tc>
        <w:tc>
          <w:tcPr>
            <w:tcW w:type="dxa" w:w="4873"/>
            <w:vAlign w:val="center"/>
          </w:tcPr>
          <w:p>
            <w:r>
              <w:t>SR-08, SR-09, SR-13 (keys), NFR-06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Integrity (I)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SR-03, SR-04, SR-05, SR-10, SR-11, SR-14</w:t>
            </w:r>
          </w:p>
        </w:tc>
      </w:tr>
      <w:tr>
        <w:tc>
          <w:tcPr>
            <w:tcW w:type="dxa" w:w="4873"/>
            <w:vAlign w:val="center"/>
          </w:tcPr>
          <w:p>
            <w:r>
              <w:t>Availability (A)</w:t>
            </w:r>
          </w:p>
        </w:tc>
        <w:tc>
          <w:tcPr>
            <w:tcW w:type="dxa" w:w="4873"/>
            <w:vAlign w:val="center"/>
          </w:tcPr>
          <w:p>
            <w:r>
              <w:t>NFR-01, SR-15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Authentication (Auth)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SR-01, SR-02, SR-16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Authorization (Authz)</w:t>
            </w:r>
          </w:p>
        </w:tc>
        <w:tc>
          <w:tcPr>
            <w:tcW w:type="dxa" w:w="4873"/>
            <w:vAlign w:val="center"/>
          </w:tcPr>
          <w:p>
            <w:r>
              <w:t>SR-06, SR-07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(Aud)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SR-10, SR-11, NFR-09</w:t>
            </w:r>
          </w:p>
        </w:tc>
      </w:tr>
      <w:tr>
        <w:tc>
          <w:tcPr>
            <w:tcW w:type="dxa" w:w="4873"/>
            <w:vAlign w:val="center"/>
          </w:tcPr>
          <w:p>
            <w:r>
              <w:t>Non-Repudiation (NR)</w:t>
            </w:r>
          </w:p>
        </w:tc>
        <w:tc>
          <w:tcPr>
            <w:tcW w:type="dxa" w:w="4873"/>
            <w:vAlign w:val="center"/>
          </w:tcPr>
          <w:p>
            <w:r>
              <w:t>SR-03, SR-12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2.7 Traceability Thread (Carried Forward)</w:t>
      </w:r>
    </w:p>
    <w:p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>
      <w:r>
        <w:t>Mapped to FR-04 (transfer ownership), NFR-09 (log retention), SR-12 (non-repudiation). Will thread through Use Case, DFD, Threat Model, Attack Tree, User Story, Code, Test, and Deployment phases.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2.8 Assumptions and Constraints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Assumptions</w:t>
      </w:r>
    </w:p>
    <w:p>
      <w:pPr>
        <w:pStyle w:val="ListBullet"/>
      </w:pPr>
      <w:r>
        <w:t>Each organization has PKI-issued certificates from a shared CA.</w:t>
      </w:r>
    </w:p>
    <w:p>
      <w:pPr>
        <w:pStyle w:val="ListBullet"/>
      </w:pPr>
      <w:r>
        <w:t>Organizations are known/trusted (permissioned network, not public).</w:t>
      </w:r>
    </w:p>
    <w:p>
      <w:pPr>
        <w:pStyle w:val="ListBullet"/>
      </w:pPr>
      <w:r>
        <w:t>Customers have smartphones with QR scanning capability.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Constraints</w:t>
      </w:r>
    </w:p>
    <w:p>
      <w:pPr>
        <w:pStyle w:val="ListBullet"/>
      </w:pPr>
      <w:r>
        <w:t>Must comply with FDA DSCSA and GS1 EPCIS 2.0.</w:t>
      </w:r>
    </w:p>
    <w:p>
      <w:pPr>
        <w:pStyle w:val="ListBullet"/>
      </w:pPr>
      <w:r>
        <w:t>Must use HSM for signing key storage (no soft keys in production).</w:t>
      </w:r>
    </w:p>
    <w:p>
      <w:pPr>
        <w:pStyle w:val="ListBullet"/>
      </w:pPr>
      <w:r>
        <w:t>Regulatory log retention: 7 years minimum.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  <w: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