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228E6" w14:textId="77777777" w:rsidR="00B554E8" w:rsidRDefault="00000000">
      <w:pPr>
        <w:pStyle w:val="Title"/>
      </w:pPr>
      <w:r>
        <w:t>Literature Survey on PPE Detection and Safety Monitoring</w:t>
      </w:r>
    </w:p>
    <w:p w14:paraId="6157B7AD" w14:textId="77777777" w:rsidR="00B554E8" w:rsidRDefault="00000000">
      <w:r>
        <w:rPr>
          <w:b/>
          <w:color w:val="1E647A"/>
          <w:sz w:val="26"/>
        </w:rPr>
        <w:t>Eight downloadable research papers  |  SafeSight construction-site safety project</w:t>
      </w:r>
    </w:p>
    <w:p w14:paraId="7D2E438E" w14:textId="77777777" w:rsidR="00B554E8" w:rsidRDefault="00000000">
      <w:r>
        <w:rPr>
          <w:color w:val="5A646C"/>
        </w:rPr>
        <w:t>Prepared 17 October 2026</w:t>
      </w:r>
    </w:p>
    <w:p w14:paraId="72E2AB60" w14:textId="77777777" w:rsidR="00B554E8" w:rsidRDefault="00000000">
      <w:pPr>
        <w:pStyle w:val="Heading1"/>
      </w:pPr>
      <w:r>
        <w:t>Executive summary</w:t>
      </w:r>
    </w:p>
    <w:p w14:paraId="7CD56766" w14:textId="77777777" w:rsidR="00B554E8" w:rsidRDefault="00000000">
      <w:r>
        <w:t>This survey reviews eight openly downloadable papers on construction PPE detection, worker identity, safety workflows, and real-time computer vision. Cheng et al. (2022) is selected as the base paper because it most closely matches SafeSight’s overall purpose: combining worker identity, PPE status, and incident logging. Its cross-camera re-identification method is not implemented in SafeSight; our prototype currently uses ByteTrack IDs within a camera stream. Al-Khiami and ElHadad (2024) remains the closest model-training reference because it uses Ultralytics YOLO for construction PPE.</w:t>
      </w:r>
    </w:p>
    <w:p w14:paraId="21ECB90E" w14:textId="77777777" w:rsidR="00B554E8" w:rsidRDefault="00000000">
      <w:r>
        <w:t>SafeSight extends a detector into a local monitoring prototype: YOLO11s detections are used with ByteTrack IDs, configurable polygon zones, dwell-time rules, PPE status association, evidence images, a live dashboard, and after-hours alerts. The literature supports these as practical system components, but the selected papers do not establish that SafeSight’s combined workflow is novel across the full research field. The defensible research gap is narrower: this project needs rigorous event-level evaluation of the integrated zone, track, PPE, dwell, and closing-time workflow, especially false alarms, missed events, person-to-PPE attribution, and identity continuity under occlusion.</w:t>
      </w:r>
    </w:p>
    <w:p w14:paraId="11841173" w14:textId="77777777" w:rsidR="00B554E8" w:rsidRDefault="00000000">
      <w:pPr>
        <w:pStyle w:val="Heading1"/>
      </w:pPr>
      <w:r>
        <w:t>Project scope and review method</w:t>
      </w:r>
    </w:p>
    <w:p w14:paraId="129E2792" w14:textId="77777777" w:rsidR="00B554E8" w:rsidRDefault="00000000">
      <w:r>
        <w:t>The project detects ten classes: Hardhat, Mask, NO-Hardhat, NO-Mask, NO-Safety Vest, Person, Safety Cone, Safety Vest, machinery, and vehicle. Its dataset split supplied for this project is 1,819 train images, 518 validation images, and 260 test images. The current system uses a YOLO11s model, a Flask local web interface, live camera/video inference, ByteTrack track IDs, saved zones, a 1.5-second dwell rule, per-track PPE assessment, evidence snapshots, CSV event records, and a configurable site closing time. These are project-context facts, not results independently audited in this survey.</w:t>
      </w:r>
    </w:p>
    <w:p w14:paraId="5860C7C1" w14:textId="77777777" w:rsidR="00B554E8" w:rsidRDefault="00000000">
      <w:r>
        <w:t>The review is a focused narrative survey, not a systematic review or meta-analysis. Papers were selected for direct relevance, scholarly publication, accessible full text, and coverage of detection, speed, field conditions, temporal logic, or system workflow. Reported metrics are reproduced as each paper states them; datasets, class sets, IoU thresholds, hardware, and split protocols differ, so the values are not a fair cross-paper leaderboard.</w:t>
      </w:r>
    </w:p>
    <w:p w14:paraId="13DC2E67" w14:textId="77777777" w:rsidR="00B554E8" w:rsidRDefault="00000000">
      <w:pPr>
        <w:pStyle w:val="Heading1"/>
      </w:pPr>
      <w:r>
        <w:t>At a glance</w:t>
      </w:r>
    </w:p>
    <w:tbl>
      <w:tblPr>
        <w:tblW w:w="0" w:type="auto"/>
        <w:jc w:val="center"/>
        <w:tblLayout w:type="fixed"/>
        <w:tblLook w:val="04A0" w:firstRow="1" w:lastRow="0" w:firstColumn="1" w:lastColumn="0" w:noHBand="0" w:noVBand="1"/>
      </w:tblPr>
      <w:tblGrid>
        <w:gridCol w:w="792"/>
        <w:gridCol w:w="1699"/>
        <w:gridCol w:w="3528"/>
        <w:gridCol w:w="3672"/>
      </w:tblGrid>
      <w:tr w:rsidR="00B554E8" w14:paraId="7D18C946" w14:textId="77777777">
        <w:trPr>
          <w:jc w:val="center"/>
        </w:trPr>
        <w:tc>
          <w:tcPr>
            <w:tcW w:w="792" w:type="dxa"/>
            <w:tcBorders>
              <w:top w:val="single" w:sz="4" w:space="0" w:color="D9E1E6"/>
              <w:left w:val="single" w:sz="4" w:space="0" w:color="D9E1E6"/>
              <w:bottom w:val="single" w:sz="4" w:space="0" w:color="D9E1E6"/>
              <w:right w:val="single" w:sz="4" w:space="0" w:color="D9E1E6"/>
            </w:tcBorders>
            <w:shd w:val="clear" w:color="auto" w:fill="173B57"/>
            <w:tcMar>
              <w:top w:w="90" w:type="dxa"/>
              <w:left w:w="100" w:type="dxa"/>
              <w:bottom w:w="90" w:type="dxa"/>
              <w:right w:w="100" w:type="dxa"/>
            </w:tcMar>
            <w:vAlign w:val="center"/>
          </w:tcPr>
          <w:p w14:paraId="00ECDF7E" w14:textId="77777777" w:rsidR="00B554E8" w:rsidRDefault="00000000">
            <w:pPr>
              <w:spacing w:after="20"/>
            </w:pPr>
            <w:r>
              <w:rPr>
                <w:b/>
                <w:color w:val="FFFFFF"/>
                <w:sz w:val="17"/>
              </w:rPr>
              <w:t>Year</w:t>
            </w:r>
          </w:p>
        </w:tc>
        <w:tc>
          <w:tcPr>
            <w:tcW w:w="1699" w:type="dxa"/>
            <w:tcBorders>
              <w:top w:val="single" w:sz="4" w:space="0" w:color="D9E1E6"/>
              <w:left w:val="single" w:sz="4" w:space="0" w:color="D9E1E6"/>
              <w:bottom w:val="single" w:sz="4" w:space="0" w:color="D9E1E6"/>
              <w:right w:val="single" w:sz="4" w:space="0" w:color="D9E1E6"/>
            </w:tcBorders>
            <w:shd w:val="clear" w:color="auto" w:fill="173B57"/>
            <w:tcMar>
              <w:top w:w="90" w:type="dxa"/>
              <w:left w:w="100" w:type="dxa"/>
              <w:bottom w:w="90" w:type="dxa"/>
              <w:right w:w="100" w:type="dxa"/>
            </w:tcMar>
            <w:vAlign w:val="center"/>
          </w:tcPr>
          <w:p w14:paraId="1A468F7C" w14:textId="77777777" w:rsidR="00B554E8" w:rsidRDefault="00000000">
            <w:pPr>
              <w:spacing w:after="20"/>
            </w:pPr>
            <w:r>
              <w:rPr>
                <w:b/>
                <w:color w:val="FFFFFF"/>
                <w:sz w:val="17"/>
              </w:rPr>
              <w:t>Study</w:t>
            </w:r>
          </w:p>
        </w:tc>
        <w:tc>
          <w:tcPr>
            <w:tcW w:w="3528" w:type="dxa"/>
            <w:tcBorders>
              <w:top w:val="single" w:sz="4" w:space="0" w:color="D9E1E6"/>
              <w:left w:val="single" w:sz="4" w:space="0" w:color="D9E1E6"/>
              <w:bottom w:val="single" w:sz="4" w:space="0" w:color="D9E1E6"/>
              <w:right w:val="single" w:sz="4" w:space="0" w:color="D9E1E6"/>
            </w:tcBorders>
            <w:shd w:val="clear" w:color="auto" w:fill="173B57"/>
            <w:tcMar>
              <w:top w:w="90" w:type="dxa"/>
              <w:left w:w="100" w:type="dxa"/>
              <w:bottom w:w="90" w:type="dxa"/>
              <w:right w:w="100" w:type="dxa"/>
            </w:tcMar>
            <w:vAlign w:val="center"/>
          </w:tcPr>
          <w:p w14:paraId="1FFB500E" w14:textId="77777777" w:rsidR="00B554E8" w:rsidRDefault="00000000">
            <w:pPr>
              <w:spacing w:after="20"/>
            </w:pPr>
            <w:r>
              <w:rPr>
                <w:b/>
                <w:color w:val="FFFFFF"/>
                <w:sz w:val="17"/>
              </w:rPr>
              <w:t>Main focus</w:t>
            </w:r>
          </w:p>
        </w:tc>
        <w:tc>
          <w:tcPr>
            <w:tcW w:w="3672" w:type="dxa"/>
            <w:tcBorders>
              <w:top w:val="single" w:sz="4" w:space="0" w:color="D9E1E6"/>
              <w:left w:val="single" w:sz="4" w:space="0" w:color="D9E1E6"/>
              <w:bottom w:val="single" w:sz="4" w:space="0" w:color="D9E1E6"/>
              <w:right w:val="single" w:sz="4" w:space="0" w:color="D9E1E6"/>
            </w:tcBorders>
            <w:shd w:val="clear" w:color="auto" w:fill="173B57"/>
            <w:tcMar>
              <w:top w:w="90" w:type="dxa"/>
              <w:left w:w="100" w:type="dxa"/>
              <w:bottom w:w="90" w:type="dxa"/>
              <w:right w:w="100" w:type="dxa"/>
            </w:tcMar>
            <w:vAlign w:val="center"/>
          </w:tcPr>
          <w:p w14:paraId="073AFD6C" w14:textId="77777777" w:rsidR="00B554E8" w:rsidRDefault="00000000">
            <w:pPr>
              <w:spacing w:after="20"/>
            </w:pPr>
            <w:r>
              <w:rPr>
                <w:b/>
                <w:color w:val="FFFFFF"/>
                <w:sz w:val="17"/>
              </w:rPr>
              <w:t>Reported result or relevance</w:t>
            </w:r>
          </w:p>
        </w:tc>
      </w:tr>
      <w:tr w:rsidR="00B554E8" w14:paraId="1F48DE24" w14:textId="77777777">
        <w:trPr>
          <w:jc w:val="center"/>
        </w:trPr>
        <w:tc>
          <w:tcPr>
            <w:tcW w:w="792" w:type="dxa"/>
            <w:tcBorders>
              <w:top w:val="single" w:sz="4" w:space="0" w:color="D9E1E6"/>
              <w:left w:val="single" w:sz="4" w:space="0" w:color="D9E1E6"/>
              <w:bottom w:val="single" w:sz="4" w:space="0" w:color="D9E1E6"/>
              <w:right w:val="single" w:sz="4" w:space="0" w:color="D9E1E6"/>
            </w:tcBorders>
            <w:shd w:val="clear" w:color="auto" w:fill="FFFFFF"/>
            <w:tcMar>
              <w:top w:w="90" w:type="dxa"/>
              <w:left w:w="100" w:type="dxa"/>
              <w:bottom w:w="90" w:type="dxa"/>
              <w:right w:w="100" w:type="dxa"/>
            </w:tcMar>
            <w:vAlign w:val="center"/>
          </w:tcPr>
          <w:p w14:paraId="3AEE6AFE" w14:textId="77777777" w:rsidR="00B554E8" w:rsidRDefault="00000000">
            <w:pPr>
              <w:spacing w:after="20"/>
            </w:pPr>
            <w:r>
              <w:rPr>
                <w:sz w:val="17"/>
              </w:rPr>
              <w:t>2020</w:t>
            </w:r>
          </w:p>
        </w:tc>
        <w:tc>
          <w:tcPr>
            <w:tcW w:w="1699" w:type="dxa"/>
            <w:tcBorders>
              <w:top w:val="single" w:sz="4" w:space="0" w:color="D9E1E6"/>
              <w:left w:val="single" w:sz="4" w:space="0" w:color="D9E1E6"/>
              <w:bottom w:val="single" w:sz="4" w:space="0" w:color="D9E1E6"/>
              <w:right w:val="single" w:sz="4" w:space="0" w:color="D9E1E6"/>
            </w:tcBorders>
            <w:shd w:val="clear" w:color="auto" w:fill="FFFFFF"/>
            <w:tcMar>
              <w:top w:w="90" w:type="dxa"/>
              <w:left w:w="100" w:type="dxa"/>
              <w:bottom w:w="90" w:type="dxa"/>
              <w:right w:w="100" w:type="dxa"/>
            </w:tcMar>
            <w:vAlign w:val="center"/>
          </w:tcPr>
          <w:p w14:paraId="678B6B5C" w14:textId="77777777" w:rsidR="00B554E8" w:rsidRDefault="00000000">
            <w:pPr>
              <w:spacing w:after="20"/>
            </w:pPr>
            <w:r>
              <w:rPr>
                <w:sz w:val="17"/>
              </w:rPr>
              <w:t>Delhi et al.</w:t>
            </w:r>
          </w:p>
        </w:tc>
        <w:tc>
          <w:tcPr>
            <w:tcW w:w="3528" w:type="dxa"/>
            <w:tcBorders>
              <w:top w:val="single" w:sz="4" w:space="0" w:color="D9E1E6"/>
              <w:left w:val="single" w:sz="4" w:space="0" w:color="D9E1E6"/>
              <w:bottom w:val="single" w:sz="4" w:space="0" w:color="D9E1E6"/>
              <w:right w:val="single" w:sz="4" w:space="0" w:color="D9E1E6"/>
            </w:tcBorders>
            <w:shd w:val="clear" w:color="auto" w:fill="FFFFFF"/>
            <w:tcMar>
              <w:top w:w="90" w:type="dxa"/>
              <w:left w:w="100" w:type="dxa"/>
              <w:bottom w:w="90" w:type="dxa"/>
              <w:right w:w="100" w:type="dxa"/>
            </w:tcMar>
            <w:vAlign w:val="center"/>
          </w:tcPr>
          <w:p w14:paraId="6AA2A77F" w14:textId="77777777" w:rsidR="00B554E8" w:rsidRDefault="00000000">
            <w:pPr>
              <w:spacing w:after="20"/>
            </w:pPr>
            <w:r>
              <w:rPr>
                <w:sz w:val="17"/>
              </w:rPr>
              <w:t>YOLOv3 PPE compliance + alarm/report</w:t>
            </w:r>
          </w:p>
        </w:tc>
        <w:tc>
          <w:tcPr>
            <w:tcW w:w="3672" w:type="dxa"/>
            <w:tcBorders>
              <w:top w:val="single" w:sz="4" w:space="0" w:color="D9E1E6"/>
              <w:left w:val="single" w:sz="4" w:space="0" w:color="D9E1E6"/>
              <w:bottom w:val="single" w:sz="4" w:space="0" w:color="D9E1E6"/>
              <w:right w:val="single" w:sz="4" w:space="0" w:color="D9E1E6"/>
            </w:tcBorders>
            <w:shd w:val="clear" w:color="auto" w:fill="FFFFFF"/>
            <w:tcMar>
              <w:top w:w="90" w:type="dxa"/>
              <w:left w:w="100" w:type="dxa"/>
              <w:bottom w:w="90" w:type="dxa"/>
              <w:right w:w="100" w:type="dxa"/>
            </w:tcMar>
            <w:vAlign w:val="center"/>
          </w:tcPr>
          <w:p w14:paraId="7D00B5BC" w14:textId="77777777" w:rsidR="00B554E8" w:rsidRDefault="00000000">
            <w:pPr>
              <w:spacing w:after="20"/>
            </w:pPr>
            <w:r>
              <w:rPr>
                <w:sz w:val="17"/>
              </w:rPr>
              <w:t>2,509 images; F1 0.96 reported</w:t>
            </w:r>
          </w:p>
        </w:tc>
      </w:tr>
      <w:tr w:rsidR="00B554E8" w14:paraId="62A7EF6C" w14:textId="77777777">
        <w:trPr>
          <w:jc w:val="center"/>
        </w:trPr>
        <w:tc>
          <w:tcPr>
            <w:tcW w:w="792" w:type="dxa"/>
            <w:tcBorders>
              <w:top w:val="single" w:sz="4" w:space="0" w:color="D9E1E6"/>
              <w:left w:val="single" w:sz="4" w:space="0" w:color="D9E1E6"/>
              <w:bottom w:val="single" w:sz="4" w:space="0" w:color="D9E1E6"/>
              <w:right w:val="single" w:sz="4" w:space="0" w:color="D9E1E6"/>
            </w:tcBorders>
            <w:shd w:val="clear" w:color="auto" w:fill="F0F5F8"/>
            <w:tcMar>
              <w:top w:w="90" w:type="dxa"/>
              <w:left w:w="100" w:type="dxa"/>
              <w:bottom w:w="90" w:type="dxa"/>
              <w:right w:w="100" w:type="dxa"/>
            </w:tcMar>
            <w:vAlign w:val="center"/>
          </w:tcPr>
          <w:p w14:paraId="497ED3D5" w14:textId="77777777" w:rsidR="00B554E8" w:rsidRDefault="00000000">
            <w:pPr>
              <w:spacing w:after="20"/>
            </w:pPr>
            <w:r>
              <w:rPr>
                <w:sz w:val="17"/>
              </w:rPr>
              <w:t>2021</w:t>
            </w:r>
          </w:p>
        </w:tc>
        <w:tc>
          <w:tcPr>
            <w:tcW w:w="1699" w:type="dxa"/>
            <w:tcBorders>
              <w:top w:val="single" w:sz="4" w:space="0" w:color="D9E1E6"/>
              <w:left w:val="single" w:sz="4" w:space="0" w:color="D9E1E6"/>
              <w:bottom w:val="single" w:sz="4" w:space="0" w:color="D9E1E6"/>
              <w:right w:val="single" w:sz="4" w:space="0" w:color="D9E1E6"/>
            </w:tcBorders>
            <w:shd w:val="clear" w:color="auto" w:fill="F0F5F8"/>
            <w:tcMar>
              <w:top w:w="90" w:type="dxa"/>
              <w:left w:w="100" w:type="dxa"/>
              <w:bottom w:w="90" w:type="dxa"/>
              <w:right w:w="100" w:type="dxa"/>
            </w:tcMar>
            <w:vAlign w:val="center"/>
          </w:tcPr>
          <w:p w14:paraId="21917A88" w14:textId="77777777" w:rsidR="00B554E8" w:rsidRDefault="00000000">
            <w:pPr>
              <w:spacing w:after="20"/>
            </w:pPr>
            <w:r>
              <w:rPr>
                <w:sz w:val="17"/>
              </w:rPr>
              <w:t>Wang et al.</w:t>
            </w:r>
          </w:p>
        </w:tc>
        <w:tc>
          <w:tcPr>
            <w:tcW w:w="3528" w:type="dxa"/>
            <w:tcBorders>
              <w:top w:val="single" w:sz="4" w:space="0" w:color="D9E1E6"/>
              <w:left w:val="single" w:sz="4" w:space="0" w:color="D9E1E6"/>
              <w:bottom w:val="single" w:sz="4" w:space="0" w:color="D9E1E6"/>
              <w:right w:val="single" w:sz="4" w:space="0" w:color="D9E1E6"/>
            </w:tcBorders>
            <w:shd w:val="clear" w:color="auto" w:fill="F0F5F8"/>
            <w:tcMar>
              <w:top w:w="90" w:type="dxa"/>
              <w:left w:w="100" w:type="dxa"/>
              <w:bottom w:w="90" w:type="dxa"/>
              <w:right w:w="100" w:type="dxa"/>
            </w:tcMar>
            <w:vAlign w:val="center"/>
          </w:tcPr>
          <w:p w14:paraId="65167950" w14:textId="77777777" w:rsidR="00B554E8" w:rsidRDefault="00000000">
            <w:pPr>
              <w:spacing w:after="20"/>
            </w:pPr>
            <w:r>
              <w:rPr>
                <w:sz w:val="17"/>
              </w:rPr>
              <w:t>YOLO speed/accuracy on real sites</w:t>
            </w:r>
          </w:p>
        </w:tc>
        <w:tc>
          <w:tcPr>
            <w:tcW w:w="3672" w:type="dxa"/>
            <w:tcBorders>
              <w:top w:val="single" w:sz="4" w:space="0" w:color="D9E1E6"/>
              <w:left w:val="single" w:sz="4" w:space="0" w:color="D9E1E6"/>
              <w:bottom w:val="single" w:sz="4" w:space="0" w:color="D9E1E6"/>
              <w:right w:val="single" w:sz="4" w:space="0" w:color="D9E1E6"/>
            </w:tcBorders>
            <w:shd w:val="clear" w:color="auto" w:fill="F0F5F8"/>
            <w:tcMar>
              <w:top w:w="90" w:type="dxa"/>
              <w:left w:w="100" w:type="dxa"/>
              <w:bottom w:w="90" w:type="dxa"/>
              <w:right w:w="100" w:type="dxa"/>
            </w:tcMar>
            <w:vAlign w:val="center"/>
          </w:tcPr>
          <w:p w14:paraId="2A38DDF6" w14:textId="77777777" w:rsidR="00B554E8" w:rsidRDefault="00000000">
            <w:pPr>
              <w:spacing w:after="20"/>
            </w:pPr>
            <w:r>
              <w:rPr>
                <w:sz w:val="17"/>
              </w:rPr>
              <w:t>YOLOv5x 86.55% mAP; YOLOv5s 52 FPS GPU</w:t>
            </w:r>
          </w:p>
        </w:tc>
      </w:tr>
      <w:tr w:rsidR="00B554E8" w14:paraId="52968707" w14:textId="77777777">
        <w:trPr>
          <w:jc w:val="center"/>
        </w:trPr>
        <w:tc>
          <w:tcPr>
            <w:tcW w:w="792" w:type="dxa"/>
            <w:tcBorders>
              <w:top w:val="single" w:sz="4" w:space="0" w:color="D9E1E6"/>
              <w:left w:val="single" w:sz="4" w:space="0" w:color="D9E1E6"/>
              <w:bottom w:val="single" w:sz="4" w:space="0" w:color="D9E1E6"/>
              <w:right w:val="single" w:sz="4" w:space="0" w:color="D9E1E6"/>
            </w:tcBorders>
            <w:shd w:val="clear" w:color="auto" w:fill="FFFFFF"/>
            <w:tcMar>
              <w:top w:w="90" w:type="dxa"/>
              <w:left w:w="100" w:type="dxa"/>
              <w:bottom w:w="90" w:type="dxa"/>
              <w:right w:w="100" w:type="dxa"/>
            </w:tcMar>
            <w:vAlign w:val="center"/>
          </w:tcPr>
          <w:p w14:paraId="5F98DFE5" w14:textId="77777777" w:rsidR="00B554E8" w:rsidRDefault="00000000">
            <w:pPr>
              <w:spacing w:after="20"/>
            </w:pPr>
            <w:r>
              <w:rPr>
                <w:sz w:val="17"/>
              </w:rPr>
              <w:lastRenderedPageBreak/>
              <w:t>2022</w:t>
            </w:r>
          </w:p>
        </w:tc>
        <w:tc>
          <w:tcPr>
            <w:tcW w:w="1699" w:type="dxa"/>
            <w:tcBorders>
              <w:top w:val="single" w:sz="4" w:space="0" w:color="D9E1E6"/>
              <w:left w:val="single" w:sz="4" w:space="0" w:color="D9E1E6"/>
              <w:bottom w:val="single" w:sz="4" w:space="0" w:color="D9E1E6"/>
              <w:right w:val="single" w:sz="4" w:space="0" w:color="D9E1E6"/>
            </w:tcBorders>
            <w:shd w:val="clear" w:color="auto" w:fill="FFFFFF"/>
            <w:tcMar>
              <w:top w:w="90" w:type="dxa"/>
              <w:left w:w="100" w:type="dxa"/>
              <w:bottom w:w="90" w:type="dxa"/>
              <w:right w:w="100" w:type="dxa"/>
            </w:tcMar>
            <w:vAlign w:val="center"/>
          </w:tcPr>
          <w:p w14:paraId="06D22FFB" w14:textId="77777777" w:rsidR="00B554E8" w:rsidRDefault="00000000">
            <w:pPr>
              <w:spacing w:after="20"/>
            </w:pPr>
            <w:r>
              <w:rPr>
                <w:sz w:val="17"/>
              </w:rPr>
              <w:t>Cheng et al.</w:t>
            </w:r>
          </w:p>
        </w:tc>
        <w:tc>
          <w:tcPr>
            <w:tcW w:w="3528" w:type="dxa"/>
            <w:tcBorders>
              <w:top w:val="single" w:sz="4" w:space="0" w:color="D9E1E6"/>
              <w:left w:val="single" w:sz="4" w:space="0" w:color="D9E1E6"/>
              <w:bottom w:val="single" w:sz="4" w:space="0" w:color="D9E1E6"/>
              <w:right w:val="single" w:sz="4" w:space="0" w:color="D9E1E6"/>
            </w:tcBorders>
            <w:shd w:val="clear" w:color="auto" w:fill="FFFFFF"/>
            <w:tcMar>
              <w:top w:w="90" w:type="dxa"/>
              <w:left w:w="100" w:type="dxa"/>
              <w:bottom w:w="90" w:type="dxa"/>
              <w:right w:w="100" w:type="dxa"/>
            </w:tcMar>
            <w:vAlign w:val="center"/>
          </w:tcPr>
          <w:p w14:paraId="48877737" w14:textId="77777777" w:rsidR="00B554E8" w:rsidRDefault="00000000">
            <w:pPr>
              <w:spacing w:after="20"/>
            </w:pPr>
            <w:r>
              <w:rPr>
                <w:sz w:val="17"/>
              </w:rPr>
              <w:t>Worker ReID + PPE classification + incident log</w:t>
            </w:r>
          </w:p>
        </w:tc>
        <w:tc>
          <w:tcPr>
            <w:tcW w:w="3672" w:type="dxa"/>
            <w:tcBorders>
              <w:top w:val="single" w:sz="4" w:space="0" w:color="D9E1E6"/>
              <w:left w:val="single" w:sz="4" w:space="0" w:color="D9E1E6"/>
              <w:bottom w:val="single" w:sz="4" w:space="0" w:color="D9E1E6"/>
              <w:right w:val="single" w:sz="4" w:space="0" w:color="D9E1E6"/>
            </w:tcBorders>
            <w:shd w:val="clear" w:color="auto" w:fill="FFFFFF"/>
            <w:tcMar>
              <w:top w:w="90" w:type="dxa"/>
              <w:left w:w="100" w:type="dxa"/>
              <w:bottom w:w="90" w:type="dxa"/>
              <w:right w:w="100" w:type="dxa"/>
            </w:tcMar>
            <w:vAlign w:val="center"/>
          </w:tcPr>
          <w:p w14:paraId="0FF55A51" w14:textId="77777777" w:rsidR="00B554E8" w:rsidRDefault="00000000">
            <w:pPr>
              <w:spacing w:after="20"/>
            </w:pPr>
            <w:r>
              <w:rPr>
                <w:sz w:val="17"/>
              </w:rPr>
              <w:t>4% ReID IDF1; 13% PPE F1 improvement reported</w:t>
            </w:r>
          </w:p>
        </w:tc>
      </w:tr>
      <w:tr w:rsidR="00B554E8" w14:paraId="0147CE34" w14:textId="77777777">
        <w:trPr>
          <w:jc w:val="center"/>
        </w:trPr>
        <w:tc>
          <w:tcPr>
            <w:tcW w:w="792" w:type="dxa"/>
            <w:tcBorders>
              <w:top w:val="single" w:sz="4" w:space="0" w:color="D9E1E6"/>
              <w:left w:val="single" w:sz="4" w:space="0" w:color="D9E1E6"/>
              <w:bottom w:val="single" w:sz="4" w:space="0" w:color="D9E1E6"/>
              <w:right w:val="single" w:sz="4" w:space="0" w:color="D9E1E6"/>
            </w:tcBorders>
            <w:shd w:val="clear" w:color="auto" w:fill="F0F5F8"/>
            <w:tcMar>
              <w:top w:w="90" w:type="dxa"/>
              <w:left w:w="100" w:type="dxa"/>
              <w:bottom w:w="90" w:type="dxa"/>
              <w:right w:w="100" w:type="dxa"/>
            </w:tcMar>
            <w:vAlign w:val="center"/>
          </w:tcPr>
          <w:p w14:paraId="73C6FAD2" w14:textId="77777777" w:rsidR="00B554E8" w:rsidRDefault="00000000">
            <w:pPr>
              <w:spacing w:after="20"/>
            </w:pPr>
            <w:r>
              <w:rPr>
                <w:sz w:val="17"/>
              </w:rPr>
              <w:t>2023</w:t>
            </w:r>
          </w:p>
        </w:tc>
        <w:tc>
          <w:tcPr>
            <w:tcW w:w="1699" w:type="dxa"/>
            <w:tcBorders>
              <w:top w:val="single" w:sz="4" w:space="0" w:color="D9E1E6"/>
              <w:left w:val="single" w:sz="4" w:space="0" w:color="D9E1E6"/>
              <w:bottom w:val="single" w:sz="4" w:space="0" w:color="D9E1E6"/>
              <w:right w:val="single" w:sz="4" w:space="0" w:color="D9E1E6"/>
            </w:tcBorders>
            <w:shd w:val="clear" w:color="auto" w:fill="F0F5F8"/>
            <w:tcMar>
              <w:top w:w="90" w:type="dxa"/>
              <w:left w:w="100" w:type="dxa"/>
              <w:bottom w:w="90" w:type="dxa"/>
              <w:right w:w="100" w:type="dxa"/>
            </w:tcMar>
            <w:vAlign w:val="center"/>
          </w:tcPr>
          <w:p w14:paraId="33913DFB" w14:textId="77777777" w:rsidR="00B554E8" w:rsidRDefault="00000000">
            <w:pPr>
              <w:spacing w:after="20"/>
            </w:pPr>
            <w:r>
              <w:rPr>
                <w:sz w:val="17"/>
              </w:rPr>
              <w:t>Karlsson et al.</w:t>
            </w:r>
          </w:p>
        </w:tc>
        <w:tc>
          <w:tcPr>
            <w:tcW w:w="3528" w:type="dxa"/>
            <w:tcBorders>
              <w:top w:val="single" w:sz="4" w:space="0" w:color="D9E1E6"/>
              <w:left w:val="single" w:sz="4" w:space="0" w:color="D9E1E6"/>
              <w:bottom w:val="single" w:sz="4" w:space="0" w:color="D9E1E6"/>
              <w:right w:val="single" w:sz="4" w:space="0" w:color="D9E1E6"/>
            </w:tcBorders>
            <w:shd w:val="clear" w:color="auto" w:fill="F0F5F8"/>
            <w:tcMar>
              <w:top w:w="90" w:type="dxa"/>
              <w:left w:w="100" w:type="dxa"/>
              <w:bottom w:w="90" w:type="dxa"/>
              <w:right w:w="100" w:type="dxa"/>
            </w:tcMar>
            <w:vAlign w:val="center"/>
          </w:tcPr>
          <w:p w14:paraId="66038B0A" w14:textId="77777777" w:rsidR="00B554E8" w:rsidRDefault="00000000">
            <w:pPr>
              <w:spacing w:after="20"/>
            </w:pPr>
            <w:r>
              <w:rPr>
                <w:sz w:val="17"/>
              </w:rPr>
              <w:t>Five PPE classes; entry control</w:t>
            </w:r>
          </w:p>
        </w:tc>
        <w:tc>
          <w:tcPr>
            <w:tcW w:w="3672" w:type="dxa"/>
            <w:tcBorders>
              <w:top w:val="single" w:sz="4" w:space="0" w:color="D9E1E6"/>
              <w:left w:val="single" w:sz="4" w:space="0" w:color="D9E1E6"/>
              <w:bottom w:val="single" w:sz="4" w:space="0" w:color="D9E1E6"/>
              <w:right w:val="single" w:sz="4" w:space="0" w:color="D9E1E6"/>
            </w:tcBorders>
            <w:shd w:val="clear" w:color="auto" w:fill="F0F5F8"/>
            <w:tcMar>
              <w:top w:w="90" w:type="dxa"/>
              <w:left w:w="100" w:type="dxa"/>
              <w:bottom w:w="90" w:type="dxa"/>
              <w:right w:w="100" w:type="dxa"/>
            </w:tcMar>
            <w:vAlign w:val="center"/>
          </w:tcPr>
          <w:p w14:paraId="30F9FC10" w14:textId="77777777" w:rsidR="00B554E8" w:rsidRDefault="00000000">
            <w:pPr>
              <w:spacing w:after="20"/>
            </w:pPr>
            <w:r>
              <w:rPr>
                <w:sz w:val="17"/>
              </w:rPr>
              <w:t>mAP 99% at 3 m; 89% at 5 m</w:t>
            </w:r>
          </w:p>
        </w:tc>
      </w:tr>
      <w:tr w:rsidR="00B554E8" w14:paraId="1E8E4EB4" w14:textId="77777777">
        <w:trPr>
          <w:jc w:val="center"/>
        </w:trPr>
        <w:tc>
          <w:tcPr>
            <w:tcW w:w="792" w:type="dxa"/>
            <w:tcBorders>
              <w:top w:val="single" w:sz="4" w:space="0" w:color="D9E1E6"/>
              <w:left w:val="single" w:sz="4" w:space="0" w:color="D9E1E6"/>
              <w:bottom w:val="single" w:sz="4" w:space="0" w:color="D9E1E6"/>
              <w:right w:val="single" w:sz="4" w:space="0" w:color="D9E1E6"/>
            </w:tcBorders>
            <w:shd w:val="clear" w:color="auto" w:fill="FFFFFF"/>
            <w:tcMar>
              <w:top w:w="90" w:type="dxa"/>
              <w:left w:w="100" w:type="dxa"/>
              <w:bottom w:w="90" w:type="dxa"/>
              <w:right w:w="100" w:type="dxa"/>
            </w:tcMar>
            <w:vAlign w:val="center"/>
          </w:tcPr>
          <w:p w14:paraId="3ABE52F2" w14:textId="77777777" w:rsidR="00B554E8" w:rsidRDefault="00000000">
            <w:pPr>
              <w:spacing w:after="20"/>
            </w:pPr>
            <w:r>
              <w:rPr>
                <w:sz w:val="17"/>
              </w:rPr>
              <w:t>2024</w:t>
            </w:r>
          </w:p>
        </w:tc>
        <w:tc>
          <w:tcPr>
            <w:tcW w:w="1699" w:type="dxa"/>
            <w:tcBorders>
              <w:top w:val="single" w:sz="4" w:space="0" w:color="D9E1E6"/>
              <w:left w:val="single" w:sz="4" w:space="0" w:color="D9E1E6"/>
              <w:bottom w:val="single" w:sz="4" w:space="0" w:color="D9E1E6"/>
              <w:right w:val="single" w:sz="4" w:space="0" w:color="D9E1E6"/>
            </w:tcBorders>
            <w:shd w:val="clear" w:color="auto" w:fill="FFFFFF"/>
            <w:tcMar>
              <w:top w:w="90" w:type="dxa"/>
              <w:left w:w="100" w:type="dxa"/>
              <w:bottom w:w="90" w:type="dxa"/>
              <w:right w:w="100" w:type="dxa"/>
            </w:tcMar>
            <w:vAlign w:val="center"/>
          </w:tcPr>
          <w:p w14:paraId="3280CE48" w14:textId="77777777" w:rsidR="00B554E8" w:rsidRDefault="00000000">
            <w:pPr>
              <w:spacing w:after="20"/>
            </w:pPr>
            <w:r>
              <w:rPr>
                <w:sz w:val="17"/>
              </w:rPr>
              <w:t>Al-Khiami &amp; ElHadad</w:t>
            </w:r>
          </w:p>
        </w:tc>
        <w:tc>
          <w:tcPr>
            <w:tcW w:w="3528" w:type="dxa"/>
            <w:tcBorders>
              <w:top w:val="single" w:sz="4" w:space="0" w:color="D9E1E6"/>
              <w:left w:val="single" w:sz="4" w:space="0" w:color="D9E1E6"/>
              <w:bottom w:val="single" w:sz="4" w:space="0" w:color="D9E1E6"/>
              <w:right w:val="single" w:sz="4" w:space="0" w:color="D9E1E6"/>
            </w:tcBorders>
            <w:shd w:val="clear" w:color="auto" w:fill="FFFFFF"/>
            <w:tcMar>
              <w:top w:w="90" w:type="dxa"/>
              <w:left w:w="100" w:type="dxa"/>
              <w:bottom w:w="90" w:type="dxa"/>
              <w:right w:w="100" w:type="dxa"/>
            </w:tcMar>
            <w:vAlign w:val="center"/>
          </w:tcPr>
          <w:p w14:paraId="12766039" w14:textId="77777777" w:rsidR="00B554E8" w:rsidRDefault="00000000">
            <w:pPr>
              <w:spacing w:after="20"/>
            </w:pPr>
            <w:r>
              <w:rPr>
                <w:sz w:val="17"/>
              </w:rPr>
              <w:t>Custom YOLOv8 construction PPE</w:t>
            </w:r>
          </w:p>
        </w:tc>
        <w:tc>
          <w:tcPr>
            <w:tcW w:w="3672" w:type="dxa"/>
            <w:tcBorders>
              <w:top w:val="single" w:sz="4" w:space="0" w:color="D9E1E6"/>
              <w:left w:val="single" w:sz="4" w:space="0" w:color="D9E1E6"/>
              <w:bottom w:val="single" w:sz="4" w:space="0" w:color="D9E1E6"/>
              <w:right w:val="single" w:sz="4" w:space="0" w:color="D9E1E6"/>
            </w:tcBorders>
            <w:shd w:val="clear" w:color="auto" w:fill="FFFFFF"/>
            <w:tcMar>
              <w:top w:w="90" w:type="dxa"/>
              <w:left w:w="100" w:type="dxa"/>
              <w:bottom w:w="90" w:type="dxa"/>
              <w:right w:w="100" w:type="dxa"/>
            </w:tcMar>
            <w:vAlign w:val="center"/>
          </w:tcPr>
          <w:p w14:paraId="625629CB" w14:textId="77777777" w:rsidR="00B554E8" w:rsidRDefault="00000000">
            <w:pPr>
              <w:spacing w:after="20"/>
            </w:pPr>
            <w:r>
              <w:rPr>
                <w:sz w:val="17"/>
              </w:rPr>
              <w:t>95% mAP reported; detector reference</w:t>
            </w:r>
          </w:p>
        </w:tc>
      </w:tr>
      <w:tr w:rsidR="00B554E8" w14:paraId="66BD82C6" w14:textId="77777777">
        <w:trPr>
          <w:jc w:val="center"/>
        </w:trPr>
        <w:tc>
          <w:tcPr>
            <w:tcW w:w="792" w:type="dxa"/>
            <w:tcBorders>
              <w:top w:val="single" w:sz="4" w:space="0" w:color="D9E1E6"/>
              <w:left w:val="single" w:sz="4" w:space="0" w:color="D9E1E6"/>
              <w:bottom w:val="single" w:sz="4" w:space="0" w:color="D9E1E6"/>
              <w:right w:val="single" w:sz="4" w:space="0" w:color="D9E1E6"/>
            </w:tcBorders>
            <w:shd w:val="clear" w:color="auto" w:fill="F0F5F8"/>
            <w:tcMar>
              <w:top w:w="90" w:type="dxa"/>
              <w:left w:w="100" w:type="dxa"/>
              <w:bottom w:w="90" w:type="dxa"/>
              <w:right w:w="100" w:type="dxa"/>
            </w:tcMar>
            <w:vAlign w:val="center"/>
          </w:tcPr>
          <w:p w14:paraId="546E0FD4" w14:textId="77777777" w:rsidR="00B554E8" w:rsidRDefault="00000000">
            <w:pPr>
              <w:spacing w:after="20"/>
            </w:pPr>
            <w:r>
              <w:rPr>
                <w:sz w:val="17"/>
              </w:rPr>
              <w:t>2024</w:t>
            </w:r>
          </w:p>
        </w:tc>
        <w:tc>
          <w:tcPr>
            <w:tcW w:w="1699" w:type="dxa"/>
            <w:tcBorders>
              <w:top w:val="single" w:sz="4" w:space="0" w:color="D9E1E6"/>
              <w:left w:val="single" w:sz="4" w:space="0" w:color="D9E1E6"/>
              <w:bottom w:val="single" w:sz="4" w:space="0" w:color="D9E1E6"/>
              <w:right w:val="single" w:sz="4" w:space="0" w:color="D9E1E6"/>
            </w:tcBorders>
            <w:shd w:val="clear" w:color="auto" w:fill="F0F5F8"/>
            <w:tcMar>
              <w:top w:w="90" w:type="dxa"/>
              <w:left w:w="100" w:type="dxa"/>
              <w:bottom w:w="90" w:type="dxa"/>
              <w:right w:w="100" w:type="dxa"/>
            </w:tcMar>
            <w:vAlign w:val="center"/>
          </w:tcPr>
          <w:p w14:paraId="1D6219F3" w14:textId="77777777" w:rsidR="00B554E8" w:rsidRDefault="00000000">
            <w:pPr>
              <w:spacing w:after="20"/>
            </w:pPr>
            <w:r>
              <w:rPr>
                <w:sz w:val="17"/>
              </w:rPr>
              <w:t>Zaidi et al.</w:t>
            </w:r>
          </w:p>
        </w:tc>
        <w:tc>
          <w:tcPr>
            <w:tcW w:w="3528" w:type="dxa"/>
            <w:tcBorders>
              <w:top w:val="single" w:sz="4" w:space="0" w:color="D9E1E6"/>
              <w:left w:val="single" w:sz="4" w:space="0" w:color="D9E1E6"/>
              <w:bottom w:val="single" w:sz="4" w:space="0" w:color="D9E1E6"/>
              <w:right w:val="single" w:sz="4" w:space="0" w:color="D9E1E6"/>
            </w:tcBorders>
            <w:shd w:val="clear" w:color="auto" w:fill="F0F5F8"/>
            <w:tcMar>
              <w:top w:w="90" w:type="dxa"/>
              <w:left w:w="100" w:type="dxa"/>
              <w:bottom w:w="90" w:type="dxa"/>
              <w:right w:w="100" w:type="dxa"/>
            </w:tcMar>
            <w:vAlign w:val="center"/>
          </w:tcPr>
          <w:p w14:paraId="578A4243" w14:textId="77777777" w:rsidR="00B554E8" w:rsidRDefault="00000000">
            <w:pPr>
              <w:spacing w:after="20"/>
            </w:pPr>
            <w:r>
              <w:rPr>
                <w:sz w:val="17"/>
              </w:rPr>
              <w:t>Temporal false-alarm reduction</w:t>
            </w:r>
          </w:p>
        </w:tc>
        <w:tc>
          <w:tcPr>
            <w:tcW w:w="3672" w:type="dxa"/>
            <w:tcBorders>
              <w:top w:val="single" w:sz="4" w:space="0" w:color="D9E1E6"/>
              <w:left w:val="single" w:sz="4" w:space="0" w:color="D9E1E6"/>
              <w:bottom w:val="single" w:sz="4" w:space="0" w:color="D9E1E6"/>
              <w:right w:val="single" w:sz="4" w:space="0" w:color="D9E1E6"/>
            </w:tcBorders>
            <w:shd w:val="clear" w:color="auto" w:fill="F0F5F8"/>
            <w:tcMar>
              <w:top w:w="90" w:type="dxa"/>
              <w:left w:w="100" w:type="dxa"/>
              <w:bottom w:w="90" w:type="dxa"/>
              <w:right w:w="100" w:type="dxa"/>
            </w:tcMar>
            <w:vAlign w:val="center"/>
          </w:tcPr>
          <w:p w14:paraId="6E1CED03" w14:textId="77777777" w:rsidR="00B554E8" w:rsidRDefault="00000000">
            <w:pPr>
              <w:spacing w:after="20"/>
            </w:pPr>
            <w:r>
              <w:rPr>
                <w:sz w:val="17"/>
              </w:rPr>
              <w:t>Closest event-confirmation comparator</w:t>
            </w:r>
          </w:p>
        </w:tc>
      </w:tr>
      <w:tr w:rsidR="00B554E8" w14:paraId="291CB952" w14:textId="77777777">
        <w:trPr>
          <w:jc w:val="center"/>
        </w:trPr>
        <w:tc>
          <w:tcPr>
            <w:tcW w:w="792" w:type="dxa"/>
            <w:tcBorders>
              <w:top w:val="single" w:sz="4" w:space="0" w:color="D9E1E6"/>
              <w:left w:val="single" w:sz="4" w:space="0" w:color="D9E1E6"/>
              <w:bottom w:val="single" w:sz="4" w:space="0" w:color="D9E1E6"/>
              <w:right w:val="single" w:sz="4" w:space="0" w:color="D9E1E6"/>
            </w:tcBorders>
            <w:shd w:val="clear" w:color="auto" w:fill="FFFFFF"/>
            <w:tcMar>
              <w:top w:w="90" w:type="dxa"/>
              <w:left w:w="100" w:type="dxa"/>
              <w:bottom w:w="90" w:type="dxa"/>
              <w:right w:w="100" w:type="dxa"/>
            </w:tcMar>
            <w:vAlign w:val="center"/>
          </w:tcPr>
          <w:p w14:paraId="0F4EDB58" w14:textId="77777777" w:rsidR="00B554E8" w:rsidRDefault="00000000">
            <w:pPr>
              <w:spacing w:after="20"/>
            </w:pPr>
            <w:r>
              <w:rPr>
                <w:sz w:val="17"/>
              </w:rPr>
              <w:t>2025</w:t>
            </w:r>
          </w:p>
        </w:tc>
        <w:tc>
          <w:tcPr>
            <w:tcW w:w="1699" w:type="dxa"/>
            <w:tcBorders>
              <w:top w:val="single" w:sz="4" w:space="0" w:color="D9E1E6"/>
              <w:left w:val="single" w:sz="4" w:space="0" w:color="D9E1E6"/>
              <w:bottom w:val="single" w:sz="4" w:space="0" w:color="D9E1E6"/>
              <w:right w:val="single" w:sz="4" w:space="0" w:color="D9E1E6"/>
            </w:tcBorders>
            <w:shd w:val="clear" w:color="auto" w:fill="FFFFFF"/>
            <w:tcMar>
              <w:top w:w="90" w:type="dxa"/>
              <w:left w:w="100" w:type="dxa"/>
              <w:bottom w:w="90" w:type="dxa"/>
              <w:right w:w="100" w:type="dxa"/>
            </w:tcMar>
            <w:vAlign w:val="center"/>
          </w:tcPr>
          <w:p w14:paraId="5F418AA5" w14:textId="77777777" w:rsidR="00B554E8" w:rsidRDefault="00000000">
            <w:pPr>
              <w:spacing w:after="20"/>
            </w:pPr>
            <w:r>
              <w:rPr>
                <w:sz w:val="17"/>
              </w:rPr>
              <w:t>Tong et al.</w:t>
            </w:r>
          </w:p>
        </w:tc>
        <w:tc>
          <w:tcPr>
            <w:tcW w:w="3528" w:type="dxa"/>
            <w:tcBorders>
              <w:top w:val="single" w:sz="4" w:space="0" w:color="D9E1E6"/>
              <w:left w:val="single" w:sz="4" w:space="0" w:color="D9E1E6"/>
              <w:bottom w:val="single" w:sz="4" w:space="0" w:color="D9E1E6"/>
              <w:right w:val="single" w:sz="4" w:space="0" w:color="D9E1E6"/>
            </w:tcBorders>
            <w:shd w:val="clear" w:color="auto" w:fill="FFFFFF"/>
            <w:tcMar>
              <w:top w:w="90" w:type="dxa"/>
              <w:left w:w="100" w:type="dxa"/>
              <w:bottom w:w="90" w:type="dxa"/>
              <w:right w:w="100" w:type="dxa"/>
            </w:tcMar>
            <w:vAlign w:val="center"/>
          </w:tcPr>
          <w:p w14:paraId="7070C750" w14:textId="77777777" w:rsidR="00B554E8" w:rsidRDefault="00000000">
            <w:pPr>
              <w:spacing w:after="20"/>
            </w:pPr>
            <w:r>
              <w:rPr>
                <w:sz w:val="17"/>
              </w:rPr>
              <w:t>YOLOv8n multi-scale PPE detection</w:t>
            </w:r>
          </w:p>
        </w:tc>
        <w:tc>
          <w:tcPr>
            <w:tcW w:w="3672" w:type="dxa"/>
            <w:tcBorders>
              <w:top w:val="single" w:sz="4" w:space="0" w:color="D9E1E6"/>
              <w:left w:val="single" w:sz="4" w:space="0" w:color="D9E1E6"/>
              <w:bottom w:val="single" w:sz="4" w:space="0" w:color="D9E1E6"/>
              <w:right w:val="single" w:sz="4" w:space="0" w:color="D9E1E6"/>
            </w:tcBorders>
            <w:shd w:val="clear" w:color="auto" w:fill="FFFFFF"/>
            <w:tcMar>
              <w:top w:w="90" w:type="dxa"/>
              <w:left w:w="100" w:type="dxa"/>
              <w:bottom w:w="90" w:type="dxa"/>
              <w:right w:w="100" w:type="dxa"/>
            </w:tcMar>
            <w:vAlign w:val="center"/>
          </w:tcPr>
          <w:p w14:paraId="319B2D11" w14:textId="77777777" w:rsidR="00B554E8" w:rsidRDefault="00000000">
            <w:pPr>
              <w:spacing w:after="20"/>
            </w:pPr>
            <w:r>
              <w:rPr>
                <w:sz w:val="17"/>
              </w:rPr>
              <w:t>Accuracy/efficiency architecture study</w:t>
            </w:r>
          </w:p>
        </w:tc>
      </w:tr>
      <w:tr w:rsidR="00B554E8" w14:paraId="639BDED1" w14:textId="77777777">
        <w:trPr>
          <w:jc w:val="center"/>
        </w:trPr>
        <w:tc>
          <w:tcPr>
            <w:tcW w:w="792" w:type="dxa"/>
            <w:tcBorders>
              <w:top w:val="single" w:sz="4" w:space="0" w:color="D9E1E6"/>
              <w:left w:val="single" w:sz="4" w:space="0" w:color="D9E1E6"/>
              <w:bottom w:val="single" w:sz="4" w:space="0" w:color="D9E1E6"/>
              <w:right w:val="single" w:sz="4" w:space="0" w:color="D9E1E6"/>
            </w:tcBorders>
            <w:shd w:val="clear" w:color="auto" w:fill="F0F5F8"/>
            <w:tcMar>
              <w:top w:w="90" w:type="dxa"/>
              <w:left w:w="100" w:type="dxa"/>
              <w:bottom w:w="90" w:type="dxa"/>
              <w:right w:w="100" w:type="dxa"/>
            </w:tcMar>
            <w:vAlign w:val="center"/>
          </w:tcPr>
          <w:p w14:paraId="4DFE57F4" w14:textId="77777777" w:rsidR="00B554E8" w:rsidRDefault="00000000">
            <w:pPr>
              <w:spacing w:after="20"/>
            </w:pPr>
            <w:r>
              <w:rPr>
                <w:sz w:val="17"/>
              </w:rPr>
              <w:t>2025</w:t>
            </w:r>
          </w:p>
        </w:tc>
        <w:tc>
          <w:tcPr>
            <w:tcW w:w="1699" w:type="dxa"/>
            <w:tcBorders>
              <w:top w:val="single" w:sz="4" w:space="0" w:color="D9E1E6"/>
              <w:left w:val="single" w:sz="4" w:space="0" w:color="D9E1E6"/>
              <w:bottom w:val="single" w:sz="4" w:space="0" w:color="D9E1E6"/>
              <w:right w:val="single" w:sz="4" w:space="0" w:color="D9E1E6"/>
            </w:tcBorders>
            <w:shd w:val="clear" w:color="auto" w:fill="F0F5F8"/>
            <w:tcMar>
              <w:top w:w="90" w:type="dxa"/>
              <w:left w:w="100" w:type="dxa"/>
              <w:bottom w:w="90" w:type="dxa"/>
              <w:right w:w="100" w:type="dxa"/>
            </w:tcMar>
            <w:vAlign w:val="center"/>
          </w:tcPr>
          <w:p w14:paraId="31810B53" w14:textId="77777777" w:rsidR="00B554E8" w:rsidRDefault="00000000">
            <w:pPr>
              <w:spacing w:after="20"/>
            </w:pPr>
            <w:r>
              <w:rPr>
                <w:sz w:val="17"/>
              </w:rPr>
              <w:t>Li et al.</w:t>
            </w:r>
          </w:p>
        </w:tc>
        <w:tc>
          <w:tcPr>
            <w:tcW w:w="3528" w:type="dxa"/>
            <w:tcBorders>
              <w:top w:val="single" w:sz="4" w:space="0" w:color="D9E1E6"/>
              <w:left w:val="single" w:sz="4" w:space="0" w:color="D9E1E6"/>
              <w:bottom w:val="single" w:sz="4" w:space="0" w:color="D9E1E6"/>
              <w:right w:val="single" w:sz="4" w:space="0" w:color="D9E1E6"/>
            </w:tcBorders>
            <w:shd w:val="clear" w:color="auto" w:fill="F0F5F8"/>
            <w:tcMar>
              <w:top w:w="90" w:type="dxa"/>
              <w:left w:w="100" w:type="dxa"/>
              <w:bottom w:w="90" w:type="dxa"/>
              <w:right w:w="100" w:type="dxa"/>
            </w:tcMar>
            <w:vAlign w:val="center"/>
          </w:tcPr>
          <w:p w14:paraId="3E9C4745" w14:textId="77777777" w:rsidR="00B554E8" w:rsidRDefault="00000000">
            <w:pPr>
              <w:spacing w:after="20"/>
            </w:pPr>
            <w:r>
              <w:rPr>
                <w:sz w:val="17"/>
              </w:rPr>
              <w:t>Small-object PPE detection</w:t>
            </w:r>
          </w:p>
        </w:tc>
        <w:tc>
          <w:tcPr>
            <w:tcW w:w="3672" w:type="dxa"/>
            <w:tcBorders>
              <w:top w:val="single" w:sz="4" w:space="0" w:color="D9E1E6"/>
              <w:left w:val="single" w:sz="4" w:space="0" w:color="D9E1E6"/>
              <w:bottom w:val="single" w:sz="4" w:space="0" w:color="D9E1E6"/>
              <w:right w:val="single" w:sz="4" w:space="0" w:color="D9E1E6"/>
            </w:tcBorders>
            <w:shd w:val="clear" w:color="auto" w:fill="F0F5F8"/>
            <w:tcMar>
              <w:top w:w="90" w:type="dxa"/>
              <w:left w:w="100" w:type="dxa"/>
              <w:bottom w:w="90" w:type="dxa"/>
              <w:right w:w="100" w:type="dxa"/>
            </w:tcMar>
            <w:vAlign w:val="center"/>
          </w:tcPr>
          <w:p w14:paraId="0C66ECEC" w14:textId="77777777" w:rsidR="00B554E8" w:rsidRDefault="00000000">
            <w:pPr>
              <w:spacing w:after="20"/>
            </w:pPr>
            <w:r>
              <w:rPr>
                <w:sz w:val="17"/>
              </w:rPr>
              <w:t>AP 93.7% vs 90.9% baseline reported</w:t>
            </w:r>
          </w:p>
        </w:tc>
      </w:tr>
    </w:tbl>
    <w:p w14:paraId="6DBFE3E5" w14:textId="77777777" w:rsidR="00B554E8" w:rsidRDefault="00000000">
      <w:pPr>
        <w:pStyle w:val="Heading1"/>
      </w:pPr>
      <w:r>
        <w:t>1. Venkata Santosh Kumar Delhi, R. Sankarlal, and Albert Thomas (2020)</w:t>
      </w:r>
    </w:p>
    <w:p w14:paraId="7596BE93" w14:textId="77777777" w:rsidR="00B554E8" w:rsidRDefault="00000000">
      <w:pPr>
        <w:keepNext/>
      </w:pPr>
      <w:r>
        <w:rPr>
          <w:b/>
        </w:rPr>
        <w:t>Venkata Santosh Kumar Delhi, R. Sankarlal, and Albert Thomas (2020). “Detection of Personal Protective Equipment (PPE) Compliance on Construction Site Using Computer Vision Based Deep Learning Techniques.” Frontiers in Built Environment, 6, 136. DOI: 10.3389/fbuil.2020.00136.</w:t>
      </w:r>
    </w:p>
    <w:p w14:paraId="331A0D4E" w14:textId="77777777" w:rsidR="00B554E8" w:rsidRDefault="00000000">
      <w:pPr>
        <w:keepNext/>
      </w:pPr>
      <w:r>
        <w:rPr>
          <w:b/>
        </w:rPr>
        <w:t xml:space="preserve">Publisher record and PDF: </w:t>
      </w:r>
      <w:r>
        <w:t>https://doi.org/10.3389/fbuil.2020.00136</w:t>
      </w:r>
    </w:p>
    <w:p w14:paraId="097D4594" w14:textId="77777777" w:rsidR="00B554E8" w:rsidRDefault="00000000">
      <w:r>
        <w:rPr>
          <w:b/>
        </w:rPr>
        <w:t xml:space="preserve">Study and findings. </w:t>
      </w:r>
      <w:r>
        <w:t>This early construction-focused study fine-tunes a YOLOv3-based detector for hard hats and safety jackets, then turns detections into four compliance categories. It reports 2,509 collected images and test-set precision/recall around 96%, with an F1 score of 0.96. It also describes a real-time workflow with alarms and timestamped reports.</w:t>
      </w:r>
    </w:p>
    <w:p w14:paraId="25E2E2E2" w14:textId="77777777" w:rsidR="00B554E8" w:rsidRDefault="00000000">
      <w:r>
        <w:rPr>
          <w:b/>
        </w:rPr>
        <w:t xml:space="preserve">Limitations and relevance to SafeSight. </w:t>
      </w:r>
      <w:r>
        <w:t>The work establishes that PPE detection can feed an operational compliance workflow. Its label set is narrow and its report does not establish modern multi-class tracking, person-specific PPE assignment across time, configurable polygon zones, or after-hours policy evaluation. Its reported metrics are study-specific and should not be compared directly with our project without matching datasets and thresholds.</w:t>
      </w:r>
    </w:p>
    <w:p w14:paraId="0C26C0B6" w14:textId="77777777" w:rsidR="00B554E8" w:rsidRDefault="00000000">
      <w:r>
        <w:rPr>
          <w:b/>
        </w:rPr>
        <w:t xml:space="preserve">Downloaded file. </w:t>
      </w:r>
      <w:r>
        <w:t>papers/01_Delhi_2020_Frontiers_PPE_Compliance.pdf</w:t>
      </w:r>
    </w:p>
    <w:p w14:paraId="45BBB9F8" w14:textId="77777777" w:rsidR="00B554E8" w:rsidRDefault="00000000">
      <w:pPr>
        <w:pStyle w:val="Heading1"/>
      </w:pPr>
      <w:r>
        <w:t>2. Zijian Wang et al. (2021)</w:t>
      </w:r>
    </w:p>
    <w:p w14:paraId="4DDA2D3E" w14:textId="77777777" w:rsidR="00B554E8" w:rsidRDefault="00000000">
      <w:pPr>
        <w:keepNext/>
      </w:pPr>
      <w:r>
        <w:rPr>
          <w:b/>
        </w:rPr>
        <w:t>Zijian Wang et al. (2021). “Fast Personal Protective Equipment Detection for Real Construction Sites Using Deep Learning Approaches.” Sensors, 21(10), 3478. DOI: 10.3390/s21103478.</w:t>
      </w:r>
    </w:p>
    <w:p w14:paraId="46068EAC" w14:textId="77777777" w:rsidR="00B554E8" w:rsidRDefault="00000000">
      <w:pPr>
        <w:keepNext/>
      </w:pPr>
      <w:r>
        <w:rPr>
          <w:b/>
        </w:rPr>
        <w:t xml:space="preserve">Publisher record and PDF: </w:t>
      </w:r>
      <w:r>
        <w:t>https://doi.org/10.3390/s21103478</w:t>
      </w:r>
    </w:p>
    <w:p w14:paraId="049C2C96" w14:textId="77777777" w:rsidR="00B554E8" w:rsidRDefault="00000000">
      <w:r>
        <w:rPr>
          <w:b/>
        </w:rPr>
        <w:t xml:space="preserve">Study and findings. </w:t>
      </w:r>
      <w:r>
        <w:t>The authors compare eight YOLO-based detectors on a construction dataset (CHV) of 1,330 images and six classes, including people, vests, and helmet colors. They report YOLOv5x at 86.55% mAP and YOLOv5s at 52 FPS on GPU. They also report that blurred faces reduced helmet-class detection by about seven percentage points.</w:t>
      </w:r>
    </w:p>
    <w:p w14:paraId="766730A2" w14:textId="77777777" w:rsidR="00B554E8" w:rsidRDefault="00000000">
      <w:r>
        <w:rPr>
          <w:b/>
        </w:rPr>
        <w:t xml:space="preserve">Limitations and relevance to SafeSight. </w:t>
      </w:r>
      <w:r>
        <w:t>This paper is especially useful for discussing the accuracy-speed trade-off and real-scene domain shift. It provides detector comparisons and a dataset, but its primary contribution is frame-level PPE detection; persistent event records, zone dwell, and site closing rules are outside its main evaluation.</w:t>
      </w:r>
    </w:p>
    <w:p w14:paraId="6FC1B541" w14:textId="77777777" w:rsidR="00B554E8" w:rsidRDefault="00000000">
      <w:r>
        <w:rPr>
          <w:b/>
        </w:rPr>
        <w:t xml:space="preserve">Downloaded file. </w:t>
      </w:r>
      <w:r>
        <w:t>papers/02_Wang_2021_MDPI_Sensors_Fast_PPE.pdf</w:t>
      </w:r>
    </w:p>
    <w:p w14:paraId="755368EF" w14:textId="77777777" w:rsidR="00B554E8" w:rsidRDefault="00000000">
      <w:pPr>
        <w:pStyle w:val="Heading1"/>
      </w:pPr>
      <w:r>
        <w:t>3. Jack C. P. Cheng et al. (2022)</w:t>
      </w:r>
    </w:p>
    <w:p w14:paraId="1BED8F70" w14:textId="77777777" w:rsidR="00B554E8" w:rsidRDefault="00000000">
      <w:pPr>
        <w:keepNext/>
      </w:pPr>
      <w:r>
        <w:rPr>
          <w:b/>
        </w:rPr>
        <w:t>Jack C. P. Cheng, Peter Kok-Yiu Wong, Han Luo, Mingzhu Wang, and Pak Him Leung (2022). “Vision-Based Monitoring of Site Safety Compliance Based on Worker Re-Identification and Personal Protective Equipment Classification.” Automation in Construction, 139, 104312. DOI: 10.1016/j.autcon.2022.104312.</w:t>
      </w:r>
    </w:p>
    <w:p w14:paraId="03A483D9" w14:textId="77777777" w:rsidR="00B554E8" w:rsidRDefault="00000000">
      <w:pPr>
        <w:keepNext/>
      </w:pPr>
      <w:r>
        <w:rPr>
          <w:b/>
        </w:rPr>
        <w:t>Publisher record and open-access full text: https://doi.org/10.1016/j.autcon.2022.104312  |  Institutional repository: https://repository.lboro.ac.uk/articles/journal_contribution/Vision-based_monitoring_of_site_safety_compliance_based_on_worker_re-identification_and_personal_protective_equipment_classification/19793743</w:t>
      </w:r>
    </w:p>
    <w:p w14:paraId="5962CC3C" w14:textId="77777777" w:rsidR="00B554E8" w:rsidRDefault="00000000">
      <w:r>
        <w:rPr>
          <w:b/>
        </w:rPr>
        <w:t>Study and findings. The authors combine worker re-identification (ReID) across cameras with PPE-status classification and an incident-logging workflow. They introduce a similarity loss for ReID and a weighted-class strategy for imbalanced PPE classes. On their construction-site data, they report a 4% improvement in IDF1 for ReID and a 13% improvement in PPE-classification F1. The workflow also uses two adjustable time thresholds for incident counting.</w:t>
      </w:r>
    </w:p>
    <w:p w14:paraId="3E4200AD" w14:textId="77777777" w:rsidR="00B554E8" w:rsidRDefault="00000000">
      <w:r>
        <w:rPr>
          <w:b/>
        </w:rPr>
        <w:t>Limitations and relevance to SafeSight. This is a stronger workflow precedent than a detector-only study, but it solves a different identity problem: cross-camera ReID, whereas SafeSight uses temporary ByteTrack IDs within a camera stream. Its incident logging means worker-specific PPE monitoring and incident records cannot be claimed as new by themselves. SafeSight still differs in its user-drawn polygon zones, zone-specific dwell rules, closing-time alarms, and live web dashboard; those features need their own evaluation.</w:t>
      </w:r>
    </w:p>
    <w:p w14:paraId="0520AF63" w14:textId="77777777" w:rsidR="00B554E8" w:rsidRDefault="00000000">
      <w:r>
        <w:rPr>
          <w:b/>
        </w:rPr>
        <w:t>Downloaded file. papers/03_Cheng_2022_Elsevier_Automation_in_Construction_ReID_PPE.pdf</w:t>
      </w:r>
    </w:p>
    <w:p w14:paraId="51F527D4" w14:textId="77777777" w:rsidR="00B554E8" w:rsidRDefault="00000000">
      <w:pPr>
        <w:pStyle w:val="Heading1"/>
      </w:pPr>
      <w:r>
        <w:t>4. Jonathan Karlsson et al. (2023)</w:t>
      </w:r>
    </w:p>
    <w:p w14:paraId="4505D911" w14:textId="77777777" w:rsidR="00B554E8" w:rsidRDefault="00000000">
      <w:pPr>
        <w:keepNext/>
      </w:pPr>
      <w:r>
        <w:rPr>
          <w:b/>
        </w:rPr>
        <w:t>Jonathan Karlsson et al. (2023). “Visual Detection of Personal Protective Equipment and Safety Gear on Industry Workers.” Proceedings of the 12th International Conference on Pattern Recognition Applications and Methods (ICPRAM), pp. 395–402. SciTePress. DOI: 10.5220/0011693500003411.</w:t>
      </w:r>
    </w:p>
    <w:p w14:paraId="0C652DFB" w14:textId="77777777" w:rsidR="00B554E8" w:rsidRDefault="00000000">
      <w:pPr>
        <w:keepNext/>
      </w:pPr>
      <w:r>
        <w:rPr>
          <w:b/>
        </w:rPr>
        <w:t xml:space="preserve">Publisher record and PDF: </w:t>
      </w:r>
      <w:r>
        <w:t>https://doi.org/10.5220/0011693500003411</w:t>
      </w:r>
    </w:p>
    <w:p w14:paraId="20A1B0A1" w14:textId="77777777" w:rsidR="00B554E8" w:rsidRDefault="00000000">
      <w:r>
        <w:rPr>
          <w:b/>
        </w:rPr>
        <w:t xml:space="preserve">Study and findings. </w:t>
      </w:r>
      <w:r>
        <w:t>The authors build a YOLOv4-based detector for five PPE classes (hardhat, vest, gloves, glasses, hearing protection) intended for an industrial entry-control point. They report mAP of 99% at 3 m and 89% at 5 m in their collaborative environment, and identify small objects and occlusion as accuracy challenges.</w:t>
      </w:r>
    </w:p>
    <w:p w14:paraId="7601DE09" w14:textId="77777777" w:rsidR="00B554E8" w:rsidRDefault="00000000">
      <w:r>
        <w:rPr>
          <w:b/>
        </w:rPr>
        <w:t xml:space="preserve">Limitations and relevance to SafeSight. </w:t>
      </w:r>
      <w:r>
        <w:t>This paper broadens the safety workflow beyond helmets and vests and demonstrates the importance of camera distance. Its entry-control scenario is different from continuous zone monitoring; the reported distance-specific metrics cannot be assumed for our webcam or site camera.</w:t>
      </w:r>
    </w:p>
    <w:p w14:paraId="40AFFF66" w14:textId="77777777" w:rsidR="00B554E8" w:rsidRDefault="00000000">
      <w:r>
        <w:rPr>
          <w:b/>
        </w:rPr>
        <w:t xml:space="preserve">Downloaded file. </w:t>
      </w:r>
      <w:r>
        <w:t>papers/04_Karlsson_2023_SciTePress_ICPRAM_Visual_PPE.pdf</w:t>
      </w:r>
    </w:p>
    <w:p w14:paraId="3AE5B6E9" w14:textId="77777777" w:rsidR="00B554E8" w:rsidRDefault="00000000">
      <w:pPr>
        <w:pStyle w:val="Heading1"/>
      </w:pPr>
      <w:r>
        <w:t>5. Mohamad Iyad Al-Khiami and Mohamed M. ElHadad (2024)</w:t>
      </w:r>
    </w:p>
    <w:p w14:paraId="19A6CDBB" w14:textId="77777777" w:rsidR="00B554E8" w:rsidRDefault="00000000">
      <w:pPr>
        <w:keepNext/>
      </w:pPr>
      <w:r>
        <w:rPr>
          <w:b/>
        </w:rPr>
        <w:t>Mohamad Iyad Al-Khiami and Mohamed M. ElHadad (2024). “Enhancing Construction Site Safety Using AI: The Development of a Custom YOLOv8 Model for PPE Compliance Detection.” Proceedings of the European Conference on Computing in Construction (EC3), 2024. DOI: 10.35490/EC3.2024.307.</w:t>
      </w:r>
    </w:p>
    <w:p w14:paraId="2F2F448B" w14:textId="77777777" w:rsidR="00B554E8" w:rsidRDefault="00000000">
      <w:pPr>
        <w:keepNext/>
      </w:pPr>
      <w:r>
        <w:rPr>
          <w:b/>
        </w:rPr>
        <w:t xml:space="preserve">Publisher record and PDF: </w:t>
      </w:r>
      <w:r>
        <w:t>https://doi.org/10.35490/EC3.2024.307</w:t>
      </w:r>
    </w:p>
    <w:p w14:paraId="43655885" w14:textId="77777777" w:rsidR="00B554E8" w:rsidRDefault="00000000">
      <w:r>
        <w:rPr>
          <w:b/>
        </w:rPr>
        <w:t xml:space="preserve">Study and findings. </w:t>
      </w:r>
      <w:r>
        <w:t>This construction PPE study uses Ultralytics YOLOv8 and targets helmets, vests, and safety shoes. The paper reports training on 2,934 images, validation on 816, and 95% mAP (as reported by the authors). It is the closest selected reference to our detector-training setup and provides a direct construction-domain precedent for a custom Ultralytics model.</w:t>
      </w:r>
    </w:p>
    <w:p w14:paraId="2201BFDC" w14:textId="77777777" w:rsidR="00B554E8" w:rsidRDefault="00000000">
      <w:r>
        <w:rPr>
          <w:b/>
        </w:rPr>
        <w:t>Limitations and relevance to SafeSight. This is a system-level reference, not the detector-training base: the paper combines deep ReID and PPE classification, while SafeSight uses YOLO11s detections and ByteTrack camera-local tracks. It does not evaluate SafeSight’s ten-class model, user-drawn zones, current 1.5-second zone dwell rule, after-hours rule, live dashboard, or evidence timeline. Its ReID/PPE improvements are paper-specific and should not be compared directly with SafeSight metrics.</w:t>
      </w:r>
    </w:p>
    <w:p w14:paraId="382A10B9" w14:textId="77777777" w:rsidR="00B554E8" w:rsidRDefault="00000000">
      <w:r>
        <w:rPr>
          <w:b/>
        </w:rPr>
        <w:t xml:space="preserve">Downloaded file. </w:t>
      </w:r>
      <w:r>
        <w:t>papers/05_Al-Khiami_ElHadad_2024_EC3_YOLOv8.pdf</w:t>
      </w:r>
    </w:p>
    <w:p w14:paraId="40D04CB8" w14:textId="77777777" w:rsidR="00B554E8" w:rsidRDefault="00000000">
      <w:pPr>
        <w:pStyle w:val="Heading1"/>
      </w:pPr>
      <w:r>
        <w:t>6. Syed Farhan Alam Zaidi et al. (2024)</w:t>
      </w:r>
    </w:p>
    <w:p w14:paraId="121BFB93" w14:textId="77777777" w:rsidR="00B554E8" w:rsidRDefault="00000000">
      <w:pPr>
        <w:keepNext/>
      </w:pPr>
      <w:r>
        <w:rPr>
          <w:b/>
        </w:rPr>
        <w:t>Syed Farhan Alam Zaidi, Jaehun Yang, Muhammad Sibtain Abbas, Rahat Hussain, Doyeop Lee, and Chansik Park (2024). “Vision-Based Construction Safety Monitoring Utilizing Temporal Analysis to Reduce False Alarms.” Buildings, 14(6), 1878. DOI: 10.3390/buildings14061878.</w:t>
      </w:r>
    </w:p>
    <w:p w14:paraId="568EE9E1" w14:textId="77777777" w:rsidR="00B554E8" w:rsidRDefault="00000000">
      <w:pPr>
        <w:keepNext/>
      </w:pPr>
      <w:r>
        <w:rPr>
          <w:b/>
        </w:rPr>
        <w:t xml:space="preserve">Publisher record and PDF: </w:t>
      </w:r>
      <w:r>
        <w:t>https://doi.org/10.3390/buildings14061878</w:t>
      </w:r>
    </w:p>
    <w:p w14:paraId="43AF2E69" w14:textId="77777777" w:rsidR="00B554E8" w:rsidRDefault="00000000">
      <w:r>
        <w:rPr>
          <w:b/>
        </w:rPr>
        <w:t>Study and findings. This paper combines object detection, rule compliance, and temporal analysis over a time window to reduce alarms caused by transient detections. Across five test videos, it reports 95% scene-classification accuracy and F1, and a 2.03% average decrease in false alarms during real-time monitoring. The paper is the closest selected comparator for SafeSight’s event-confirmation logic.</w:t>
      </w:r>
    </w:p>
    <w:p w14:paraId="32944B89" w14:textId="77777777" w:rsidR="00B554E8" w:rsidRDefault="00000000">
      <w:r>
        <w:rPr>
          <w:b/>
        </w:rPr>
        <w:t>Limitations and relevance to SafeSight. The five-video evaluation is small, so generalization to other sites and cameras remains uncertain. Although the paper includes a coordination-correlation technique for PPE verification, it does not establish robust long-term identity continuity. SafeSight’s rules are configured around zones, a dwell duration, PPE requirements, and closing time; those should be evaluated as event-level outcomes, not inferred from detector mAP.</w:t>
      </w:r>
    </w:p>
    <w:p w14:paraId="7E2294FE" w14:textId="77777777" w:rsidR="00B554E8" w:rsidRDefault="00000000">
      <w:r>
        <w:rPr>
          <w:b/>
        </w:rPr>
        <w:t xml:space="preserve">Downloaded file. </w:t>
      </w:r>
      <w:r>
        <w:t>papers/06_Zaidi_2024_MDPI_Buildings_Temporal_Alarms.pdf</w:t>
      </w:r>
    </w:p>
    <w:p w14:paraId="0FBAC664" w14:textId="77777777" w:rsidR="00B554E8" w:rsidRDefault="00000000">
      <w:pPr>
        <w:pStyle w:val="Heading1"/>
      </w:pPr>
      <w:r>
        <w:t>7. Bo Tong, Guan Li, Xiangli Bu, Yang Wang, and Xingchen Yu (2025)</w:t>
      </w:r>
    </w:p>
    <w:p w14:paraId="0B59B662" w14:textId="77777777" w:rsidR="00B554E8" w:rsidRDefault="00000000">
      <w:pPr>
        <w:keepNext/>
      </w:pPr>
      <w:r>
        <w:rPr>
          <w:b/>
        </w:rPr>
        <w:t>Bo Tong, Guan Li, Xiangli Bu, Yang Wang, and Xingchen Yu (2025). “A Deep Learning-Based Algorithm for the Detection of Personal Protective Equipment.” PLOS ONE, 20(5), e0322115. DOI: 10.1371/journal.pone.0322115.</w:t>
      </w:r>
    </w:p>
    <w:p w14:paraId="0BB68F18" w14:textId="77777777" w:rsidR="00B554E8" w:rsidRDefault="00000000">
      <w:pPr>
        <w:keepNext/>
      </w:pPr>
      <w:r>
        <w:rPr>
          <w:b/>
        </w:rPr>
        <w:t xml:space="preserve">Publisher record and PDF: </w:t>
      </w:r>
      <w:r>
        <w:t>https://doi.org/10.1371/journal.pone.0322115</w:t>
      </w:r>
    </w:p>
    <w:p w14:paraId="759C35C0" w14:textId="77777777" w:rsidR="00B554E8" w:rsidRDefault="00000000">
      <w:r>
        <w:rPr>
          <w:b/>
        </w:rPr>
        <w:t xml:space="preserve">Study and findings. </w:t>
      </w:r>
      <w:r>
        <w:t>The paper proposes MFD-YOLO based on YOLOv8n, combining multi-scale feature extraction/fusion and task alignment for PPE of different sizes. On its evaluated dataset, the authors report improvements over YOLOv8n; the paper also reports a pruning configuration that reduces computation and parameters while retaining detection performance, and compares speed and model size.</w:t>
      </w:r>
    </w:p>
    <w:p w14:paraId="04C70323" w14:textId="77777777" w:rsidR="00B554E8" w:rsidRDefault="00000000">
      <w:r>
        <w:rPr>
          <w:b/>
        </w:rPr>
        <w:t xml:space="preserve">Limitations and relevance to SafeSight. </w:t>
      </w:r>
      <w:r>
        <w:t>This is a model-architecture and deployment-efficiency study, not a zone/event system. Its results are specific to its dataset, training setup, and hardware. SafeSight uses an off-the-shelf YOLO11s model rather than claiming these architectural modifications.</w:t>
      </w:r>
    </w:p>
    <w:p w14:paraId="61CFF6E8" w14:textId="77777777" w:rsidR="00B554E8" w:rsidRDefault="00000000">
      <w:r>
        <w:rPr>
          <w:b/>
        </w:rPr>
        <w:t xml:space="preserve">Downloaded file. </w:t>
      </w:r>
      <w:r>
        <w:t>papers/07_Tong_2025_PLOS_ONE_PPE_Detection.pdf</w:t>
      </w:r>
    </w:p>
    <w:p w14:paraId="02400E08" w14:textId="77777777" w:rsidR="00B554E8" w:rsidRDefault="00000000">
      <w:pPr>
        <w:pStyle w:val="Heading1"/>
      </w:pPr>
      <w:r>
        <w:t>8. ChunYa Li et al. (2025)</w:t>
      </w:r>
    </w:p>
    <w:p w14:paraId="6E670406" w14:textId="77777777" w:rsidR="00B554E8" w:rsidRDefault="00000000">
      <w:pPr>
        <w:keepNext/>
      </w:pPr>
      <w:r>
        <w:rPr>
          <w:b/>
        </w:rPr>
        <w:t>ChunYa Li et al. (2025). “SD-YOLOv5: A Rapid Detection Method for Personal Protective Equipment on Construction Sites.” Frontiers in Built Environment, 11, 1563483. DOI: 10.3389/fbuil.2025.1563483.</w:t>
      </w:r>
    </w:p>
    <w:p w14:paraId="01124017" w14:textId="77777777" w:rsidR="00B554E8" w:rsidRDefault="00000000">
      <w:pPr>
        <w:keepNext/>
      </w:pPr>
      <w:r>
        <w:rPr>
          <w:b/>
        </w:rPr>
        <w:t xml:space="preserve">Publisher record and PDF: </w:t>
      </w:r>
      <w:r>
        <w:t>https://doi.org/10.3389/fbuil.2025.1563483</w:t>
      </w:r>
    </w:p>
    <w:p w14:paraId="343157BF" w14:textId="77777777" w:rsidR="00B554E8" w:rsidRDefault="00000000">
      <w:r>
        <w:rPr>
          <w:b/>
        </w:rPr>
        <w:t xml:space="preserve">Study and findings. </w:t>
      </w:r>
      <w:r>
        <w:t>The authors modify YOLOv5s with a small-object detection layer and DilateFormer attention. On the CHV dataset they report AP of 93.7%, compared with 90.9% for their YOLOv5s baseline, and up to 14.6% fewer parameters. The motivation is better detection of small or occluded PPE in complex site images.</w:t>
      </w:r>
    </w:p>
    <w:p w14:paraId="6400065D" w14:textId="77777777" w:rsidR="00B554E8" w:rsidRDefault="00000000">
      <w:r>
        <w:rPr>
          <w:b/>
        </w:rPr>
        <w:t xml:space="preserve">Limitations and relevance to SafeSight. </w:t>
      </w:r>
      <w:r>
        <w:t>It informs the known small-object challenge and shows that detector architecture can be optimized. SafeSight’s project contribution is presently system integration and event handling, not a new detector architecture; direct accuracy claims require evaluation on the project’s held-out split and live footage.</w:t>
      </w:r>
    </w:p>
    <w:p w14:paraId="70010A2B" w14:textId="77777777" w:rsidR="00B554E8" w:rsidRDefault="00000000">
      <w:r>
        <w:rPr>
          <w:b/>
        </w:rPr>
        <w:t xml:space="preserve">Downloaded file. </w:t>
      </w:r>
      <w:r>
        <w:t>papers/08_Li_2025_Frontiers_SD_YOLOv5_PPE.pdf</w:t>
      </w:r>
    </w:p>
    <w:p w14:paraId="72EFF6D3" w14:textId="77777777" w:rsidR="00B554E8" w:rsidRDefault="00000000">
      <w:pPr>
        <w:pStyle w:val="Heading1"/>
      </w:pPr>
      <w:r>
        <w:t>Synthesis across the eight papers</w:t>
      </w:r>
    </w:p>
    <w:p w14:paraId="7ADCE95F" w14:textId="77777777" w:rsidR="00B554E8" w:rsidRDefault="00000000">
      <w:r>
        <w:t>The papers show a progression from detecting one or a few PPE items toward multi-class detection, real-scene evaluation, and operational safety workflows. Detector studies repeatedly identify small or distant PPE, occlusion, lighting, motion blur, and inference speed as practical constraints. Model improvements can raise reported AP or reduce parameters, but those gains remain tied to each paper’s dataset and test conditions.</w:t>
      </w:r>
    </w:p>
    <w:p w14:paraId="07F1D0EF" w14:textId="77777777" w:rsidR="00B554E8" w:rsidRDefault="00000000">
      <w:r>
        <w:t>A second thread concerns what happens after detection. Delhi et al. connect unsafe detections to timestamped alarms and reports; Karlsson et al. connect detections to entry control; Zaidi et al. use temporal analysis to suppress transient false alarms. These precedents mean a general claim that “PPE detection with alerts” is new would be too broad. SafeSight’s distinction is its specific integration of user-drawn zones, track IDs, PPE association, dwell persistence, evidence records, live dashboard, and closing-time policy. Whether this integration is more reliable or useful remains an empirical question.</w:t>
      </w:r>
    </w:p>
    <w:p w14:paraId="62E91832" w14:textId="77777777" w:rsidR="00B554E8" w:rsidRDefault="00000000">
      <w:pPr>
        <w:pStyle w:val="Heading1"/>
      </w:pPr>
      <w:r>
        <w:t>Selected base paper and adaptation</w:t>
      </w:r>
    </w:p>
    <w:p w14:paraId="235218EC" w14:textId="77777777" w:rsidR="00B554E8" w:rsidRDefault="00000000">
      <w:r>
        <w:t>Base paper: Cheng et al. (2022), “Vision-Based Monitoring of Site Safety Compliance Based on Worker Re-Identification and Personal Protective Equipment Classification,” Automation in Construction. It is the best overall base paper because it combines worker identity, PPE assessment, and incident logging on real construction-site data. SafeSight adapts the system-level idea of connecting a tracked person’s PPE state to a logged safety event. It does not reproduce the paper’s cross-camera ReID or its separate PPE-classification method. Al-Khiami and ElHadad (2024) is the supporting detector-training reference for the Ultralytics YOLO component.</w:t>
      </w:r>
    </w:p>
    <w:p w14:paraId="1F92D8A6" w14:textId="77777777" w:rsidR="00B554E8" w:rsidRDefault="00000000">
      <w:r>
        <w:t>Adaptation in SafeSight: YOLO11s detects people and PPE-related classes; ByteTrack provides camera-local track IDs; the Flask interface applies configured zones and dwell/closing-time rules, then presents events with evidence. Cheng et al.’s cross-camera ReID is a more demanding identity method than SafeSight currently uses. Al-Khiami and ElHadad (2024) informs the detector-training setup, while Zaidi et al. (2024) informs temporal confirmation and false-alarm reduction.</w:t>
      </w:r>
    </w:p>
    <w:p w14:paraId="5F8E13A5" w14:textId="77777777" w:rsidR="00B554E8" w:rsidRDefault="00000000">
      <w:pPr>
        <w:pStyle w:val="Heading1"/>
      </w:pPr>
      <w:r>
        <w:t>Research gap between the selected work and this project</w:t>
      </w:r>
    </w:p>
    <w:p w14:paraId="68949BBF" w14:textId="77777777" w:rsidR="00B554E8" w:rsidRDefault="00000000">
      <w:r>
        <w:t>The selected literature already includes worker-specific PPE classification and incident logging (Cheng et al., 2022), temporal filtering to reduce false alarms (Zaidi et al., 2024), and alarm/report workflows (Delhi et al., 2020). Therefore, SafeSight should not claim novelty for connecting a person, PPE status, and an incident record in general. The narrower project gap is the implementation and event-level evaluation of a single-camera prototype that combines user-configured polygon zones, zone-specific dwell rules, PPE evidence/status, a configurable closing-time rule, saved evidence, and a live dashboard. This describes the gap within the selected papers, not a claim that no other publication has addressed it.</w:t>
      </w:r>
    </w:p>
    <w:p w14:paraId="2827E36D" w14:textId="77777777" w:rsidR="00B554E8" w:rsidRDefault="00000000">
      <w:r>
        <w:t>The main technical risks remain identity switches and track loss during overlap, incorrect PPE-to-person association, false violations when PPE is occluded or uncertain, camera-specific zone calibration, low frame rate, and limited representativeness of training and evaluation data. ByteTrack IDs are temporary stream identifiers, not worker identities. The application should distinguish “not detected/uncertain” from a confirmed violation. Cheng et al.’s cross-camera ReID also shows a possible future extension, but adding ReID would require identity privacy safeguards and separate evaluation.</w:t>
      </w:r>
    </w:p>
    <w:p w14:paraId="1D4C9BCD" w14:textId="77777777" w:rsidR="00B554E8" w:rsidRDefault="00000000">
      <w:r>
        <w:t>This survey supports framing SafeSight as a prototype and event-level evaluation study, not as a new detector or the first system to link PPE status with worker incidents. A defensible contribution is to implement and measure a configurable single-camera workflow with zone rules, dwell and closing-time events, evidence, and a live dashboard, while clearly stating that current track IDs are camera-local and not persistent real-world worker identities.</w:t>
      </w:r>
    </w:p>
    <w:p w14:paraId="1F01BABA" w14:textId="77777777" w:rsidR="00B554E8" w:rsidRDefault="00000000">
      <w:pPr>
        <w:pStyle w:val="Heading1"/>
      </w:pPr>
      <w:r>
        <w:t>Evaluation needed to substantiate the gap</w:t>
      </w:r>
    </w:p>
    <w:p w14:paraId="20652E57" w14:textId="77777777" w:rsidR="00B554E8" w:rsidRDefault="00000000">
      <w:pPr>
        <w:pStyle w:val="ListBullet"/>
      </w:pPr>
      <w:r>
        <w:t>Keep the existing image-level test split separate from event evaluation; do not tune zone thresholds on the final test set.</w:t>
      </w:r>
    </w:p>
    <w:p w14:paraId="64AF7EFE" w14:textId="77777777" w:rsidR="00B554E8" w:rsidRDefault="00000000">
      <w:pPr>
        <w:pStyle w:val="ListBullet"/>
      </w:pPr>
      <w:r>
        <w:t>Create annotated video clips with person tracks, zone entry/exit times, PPE status, and after-hours presence labels.</w:t>
      </w:r>
    </w:p>
    <w:p w14:paraId="3BA7C9BD" w14:textId="77777777" w:rsidR="00B554E8" w:rsidRDefault="00000000">
      <w:pPr>
        <w:pStyle w:val="ListBullet"/>
      </w:pPr>
      <w:r>
        <w:t>Report per-class precision, recall, mAP@0.5, and mAP@0.5:0.95 for detector comparison, alongside video-level event precision, recall, F1, false alarms per camera-hour, missed-event rate, and alert latency.</w:t>
      </w:r>
    </w:p>
    <w:p w14:paraId="2EF32DFB" w14:textId="77777777" w:rsidR="00B554E8" w:rsidRDefault="00000000">
      <w:pPr>
        <w:pStyle w:val="ListBullet"/>
      </w:pPr>
      <w:r>
        <w:t>Measure tracking continuity (for example ID switches and track fragmentation) and PPE-to-person association accuracy separately from detector accuracy.</w:t>
      </w:r>
    </w:p>
    <w:p w14:paraId="4237B340" w14:textId="77777777" w:rsidR="00B554E8" w:rsidRDefault="00000000">
      <w:pPr>
        <w:pStyle w:val="ListBullet"/>
      </w:pPr>
      <w:r>
        <w:t>Report FPS and end-to-end latency on the actual deployment computer, camera resolution, and model settings; distinguish GPU and CPU results.</w:t>
      </w:r>
    </w:p>
    <w:p w14:paraId="6DE47983" w14:textId="77777777" w:rsidR="00B554E8" w:rsidRDefault="00000000">
      <w:pPr>
        <w:pStyle w:val="ListBullet"/>
      </w:pPr>
      <w:r>
        <w:t>Include uncertainty handling: “uncertain/not visible” should trigger review or a qualified alert, not automatically be logged as a confirmed PPE violation.</w:t>
      </w:r>
    </w:p>
    <w:p w14:paraId="71167991" w14:textId="77777777" w:rsidR="00B554E8" w:rsidRDefault="00000000">
      <w:pPr>
        <w:pStyle w:val="Heading1"/>
      </w:pPr>
      <w:r>
        <w:t>References and downloadable papers</w:t>
      </w:r>
    </w:p>
    <w:p w14:paraId="0642ADEF" w14:textId="77777777" w:rsidR="00B554E8" w:rsidRDefault="00000000">
      <w:r>
        <w:t>All eight full-text PDFs are included in the companion ZIP. DOI links point to publisher or proceedings records; the Cheng paper also has an institutional open-access repository link. Follow each paper’s license and reuse terms.</w:t>
      </w:r>
    </w:p>
    <w:p w14:paraId="47175FD9" w14:textId="77777777" w:rsidR="00B554E8" w:rsidRDefault="00000000">
      <w:pPr>
        <w:pStyle w:val="ListNumber"/>
        <w:spacing w:after="80"/>
      </w:pPr>
      <w:r>
        <w:rPr>
          <w:sz w:val="18"/>
        </w:rPr>
        <w:t xml:space="preserve">Venkata Santosh Kumar Delhi, R. Sankarlal, and Albert Thomas (2020). “Detection of Personal Protective Equipment (PPE) Compliance on Construction Site Using Computer Vision Based Deep Learning Techniques.” Frontiers in Built Environment, 6, 136. DOI: 10.3389/fbuil.2020.00136. </w:t>
      </w:r>
      <w:r>
        <w:rPr>
          <w:color w:val="006699"/>
          <w:sz w:val="18"/>
        </w:rPr>
        <w:t>https://doi.org/10.3389/fbuil.2020.00136</w:t>
      </w:r>
    </w:p>
    <w:p w14:paraId="66C4E03F" w14:textId="77777777" w:rsidR="00B554E8" w:rsidRDefault="00000000">
      <w:pPr>
        <w:pStyle w:val="ListNumber"/>
        <w:spacing w:after="80"/>
      </w:pPr>
      <w:r>
        <w:rPr>
          <w:sz w:val="18"/>
        </w:rPr>
        <w:t xml:space="preserve">Zijian Wang et al. (2021). “Fast Personal Protective Equipment Detection for Real Construction Sites Using Deep Learning Approaches.” Sensors, 21(10), 3478. DOI: 10.3390/s21103478. </w:t>
      </w:r>
      <w:r>
        <w:rPr>
          <w:color w:val="006699"/>
          <w:sz w:val="18"/>
        </w:rPr>
        <w:t>https://doi.org/10.3390/s21103478</w:t>
      </w:r>
    </w:p>
    <w:p w14:paraId="29DBB79D" w14:textId="77777777" w:rsidR="00B554E8" w:rsidRDefault="00000000">
      <w:pPr>
        <w:pStyle w:val="ListNumber"/>
        <w:spacing w:after="80"/>
      </w:pPr>
      <w:r>
        <w:rPr>
          <w:sz w:val="18"/>
        </w:rPr>
        <w:t>Jack C. P. Cheng, Peter Kok-Yiu Wong, Han Luo, Mingzhu Wang, and Pak Him Leung (2022). “Vision-Based Monitoring of Site Safety Compliance Based on Worker Re-Identification and Personal Protective Equipment Classification.” Automation in Construction, 139, 104312. DOI: 10.1016/j.autcon.2022.104312. https://doi.org/10.1016/j.autcon.2022.104312</w:t>
      </w:r>
    </w:p>
    <w:p w14:paraId="6D1FDCFF" w14:textId="77777777" w:rsidR="00B554E8" w:rsidRDefault="00000000">
      <w:pPr>
        <w:pStyle w:val="ListNumber"/>
        <w:spacing w:after="80"/>
      </w:pPr>
      <w:r>
        <w:rPr>
          <w:sz w:val="18"/>
        </w:rPr>
        <w:t xml:space="preserve">Jonathan Karlsson et al. (2023). “Visual Detection of Personal Protective Equipment and Safety Gear on Industry Workers.” Proceedings of the 12th International Conference on Pattern Recognition Applications and Methods (ICPRAM), pp. 395–402. SciTePress. DOI: 10.5220/0011693500003411. </w:t>
      </w:r>
      <w:r>
        <w:rPr>
          <w:color w:val="006699"/>
          <w:sz w:val="18"/>
        </w:rPr>
        <w:t>https://doi.org/10.5220/0011693500003411</w:t>
      </w:r>
    </w:p>
    <w:p w14:paraId="7A6E101B" w14:textId="77777777" w:rsidR="00B554E8" w:rsidRDefault="00000000">
      <w:pPr>
        <w:pStyle w:val="ListNumber"/>
        <w:spacing w:after="80"/>
      </w:pPr>
      <w:r>
        <w:rPr>
          <w:sz w:val="18"/>
        </w:rPr>
        <w:t xml:space="preserve">Mohamad Iyad Al-Khiami and Mohamed M. ElHadad (2024). “Enhancing Construction Site Safety Using AI: The Development of a Custom YOLOv8 Model for PPE Compliance Detection.” Proceedings of the European Conference on Computing in Construction (EC3), 2024. DOI: 10.35490/EC3.2024.307. </w:t>
      </w:r>
      <w:r>
        <w:rPr>
          <w:color w:val="006699"/>
          <w:sz w:val="18"/>
        </w:rPr>
        <w:t>https://doi.org/10.35490/EC3.2024.307</w:t>
      </w:r>
    </w:p>
    <w:p w14:paraId="6B6CC42E" w14:textId="77777777" w:rsidR="00B554E8" w:rsidRDefault="00000000">
      <w:pPr>
        <w:pStyle w:val="ListNumber"/>
        <w:spacing w:after="80"/>
      </w:pPr>
      <w:r>
        <w:rPr>
          <w:sz w:val="18"/>
        </w:rPr>
        <w:t>Syed Farhan Alam Zaidi, Jaehun Yang, Muhammad Sibtain Abbas, Rahat Hussain, Doyeop Lee, and Chansik Park (2024). “Vision-Based Construction Safety Monitoring Utilizing Temporal Analysis to Reduce False Alarms.” Buildings, 14(6), 1878. DOI: 10.3390/buildings14061878. https://doi.org/10.3390/buildings14061878</w:t>
      </w:r>
    </w:p>
    <w:p w14:paraId="46AF19F6" w14:textId="77777777" w:rsidR="00B554E8" w:rsidRDefault="00000000">
      <w:pPr>
        <w:pStyle w:val="ListNumber"/>
        <w:spacing w:after="80"/>
      </w:pPr>
      <w:r>
        <w:rPr>
          <w:sz w:val="18"/>
        </w:rPr>
        <w:t xml:space="preserve">Bo Tong, Guan Li, Xiangli Bu, Yang Wang, and Xingchen Yu (2025). “A Deep Learning-Based Algorithm for the Detection of Personal Protective Equipment.” PLOS ONE, 20(5), e0322115. DOI: 10.1371/journal.pone.0322115. </w:t>
      </w:r>
      <w:r>
        <w:rPr>
          <w:color w:val="006699"/>
          <w:sz w:val="18"/>
        </w:rPr>
        <w:t>https://doi.org/10.1371/journal.pone.0322115</w:t>
      </w:r>
    </w:p>
    <w:p w14:paraId="4683D8F2" w14:textId="77777777" w:rsidR="00B554E8" w:rsidRDefault="00000000">
      <w:pPr>
        <w:pStyle w:val="ListNumber"/>
        <w:spacing w:after="80"/>
      </w:pPr>
      <w:r>
        <w:rPr>
          <w:sz w:val="18"/>
        </w:rPr>
        <w:t xml:space="preserve">ChunYa Li et al. (2025). “SD-YOLOv5: A Rapid Detection Method for Personal Protective Equipment on Construction Sites.” Frontiers in Built Environment, 11, 1563483. DOI: 10.3389/fbuil.2025.1563483. </w:t>
      </w:r>
      <w:r>
        <w:rPr>
          <w:color w:val="006699"/>
          <w:sz w:val="18"/>
        </w:rPr>
        <w:t>https://doi.org/10.3389/fbuil.2025.1563483</w:t>
      </w:r>
    </w:p>
    <w:sectPr w:rsidR="00B554E8" w:rsidSect="00034616">
      <w:headerReference w:type="default" r:id="rId8"/>
      <w:footerReference w:type="default" r:id="rId9"/>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215F7" w14:textId="77777777" w:rsidR="00067C33" w:rsidRDefault="00067C33">
      <w:pPr>
        <w:spacing w:after="0" w:line="240" w:lineRule="auto"/>
      </w:pPr>
      <w:r>
        <w:separator/>
      </w:r>
    </w:p>
  </w:endnote>
  <w:endnote w:type="continuationSeparator" w:id="0">
    <w:p w14:paraId="4F271318" w14:textId="77777777" w:rsidR="00067C33" w:rsidRDefault="00067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1A9FE" w14:textId="77777777" w:rsidR="00B554E8" w:rsidRDefault="00000000">
    <w:pPr>
      <w:pStyle w:val="Footer"/>
      <w:jc w:val="right"/>
    </w:pPr>
    <w:r>
      <w:t xml:space="preserve">Literature </w:t>
    </w:r>
    <w:proofErr w:type="gramStart"/>
    <w:r>
      <w:t>survey  •</w:t>
    </w:r>
    <w:proofErr w:type="gramEnd"/>
    <w:r>
      <w:t xml:space="preserve">  17 October </w:t>
    </w:r>
    <w:proofErr w:type="gramStart"/>
    <w:r>
      <w:t>2026  |</w:t>
    </w:r>
    <w:proofErr w:type="gramEnd"/>
    <w:r>
      <w:t xml:space="preserve">  </w:t>
    </w:r>
    <w:r>
      <w:fldChar w:fldCharType="begin"/>
    </w:r>
    <w:r>
      <w:instrText>PAGE</w:instrText>
    </w:r>
    <w:r>
      <w:fldChar w:fldCharType="separate"/>
    </w:r>
    <w:r w:rsidR="00F8364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BD641" w14:textId="77777777" w:rsidR="00067C33" w:rsidRDefault="00067C33">
      <w:pPr>
        <w:spacing w:after="0" w:line="240" w:lineRule="auto"/>
      </w:pPr>
      <w:r>
        <w:separator/>
      </w:r>
    </w:p>
  </w:footnote>
  <w:footnote w:type="continuationSeparator" w:id="0">
    <w:p w14:paraId="106EEC3E" w14:textId="77777777" w:rsidR="00067C33" w:rsidRDefault="00067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9769F" w14:textId="77777777" w:rsidR="00B554E8" w:rsidRDefault="00000000">
    <w:pPr>
      <w:pStyle w:val="Caption"/>
    </w:pPr>
    <w:proofErr w:type="gramStart"/>
    <w:r>
      <w:rPr>
        <w:color w:val="50606E"/>
        <w:sz w:val="16"/>
      </w:rPr>
      <w:t>SAFESIGHT  |</w:t>
    </w:r>
    <w:proofErr w:type="gramEnd"/>
    <w:r>
      <w:rPr>
        <w:color w:val="50606E"/>
        <w:sz w:val="16"/>
      </w:rPr>
      <w:t xml:space="preserve">  PPE COMPLIANCE AND SITE MONITORING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580924">
    <w:abstractNumId w:val="8"/>
  </w:num>
  <w:num w:numId="2" w16cid:durableId="422184558">
    <w:abstractNumId w:val="6"/>
  </w:num>
  <w:num w:numId="3" w16cid:durableId="95253206">
    <w:abstractNumId w:val="5"/>
  </w:num>
  <w:num w:numId="4" w16cid:durableId="1954050735">
    <w:abstractNumId w:val="4"/>
  </w:num>
  <w:num w:numId="5" w16cid:durableId="2111194556">
    <w:abstractNumId w:val="7"/>
  </w:num>
  <w:num w:numId="6" w16cid:durableId="1993099912">
    <w:abstractNumId w:val="3"/>
  </w:num>
  <w:num w:numId="7" w16cid:durableId="1778283039">
    <w:abstractNumId w:val="2"/>
  </w:num>
  <w:num w:numId="8" w16cid:durableId="408845650">
    <w:abstractNumId w:val="1"/>
  </w:num>
  <w:num w:numId="9" w16cid:durableId="975259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C33"/>
    <w:rsid w:val="0015074B"/>
    <w:rsid w:val="001F5F11"/>
    <w:rsid w:val="0029639D"/>
    <w:rsid w:val="00326F90"/>
    <w:rsid w:val="00AA1D8D"/>
    <w:rsid w:val="00B47730"/>
    <w:rsid w:val="00B554E8"/>
    <w:rsid w:val="00CB0664"/>
    <w:rsid w:val="00F836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8368A"/>
  <w14:defaultImageDpi w14:val="300"/>
  <w15:docId w15:val="{24B6DEBA-2BF8-45FF-BECB-941804742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color w:val="26303A"/>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3117</Words>
  <Characters>17772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Survey on PPE Detection and Safety Monitoring</dc:title>
  <dc:subject>Eight downloadable research papers and research-gap analysis for SafeSight</dc:subject>
  <dc:creator>SafeSight project team</dc:creator>
  <cp:keywords/>
  <dc:description>generated by python-docx</dc:description>
  <cp:lastModifiedBy>Jeevan Rajkumar</cp:lastModifiedBy>
  <cp:revision>2</cp:revision>
  <dcterms:created xsi:type="dcterms:W3CDTF">2026-10-17T17:14:00Z</dcterms:created>
  <dcterms:modified xsi:type="dcterms:W3CDTF">2026-10-17T17:14:00Z</dcterms:modified>
  <cp:category/>
</cp:coreProperties>
</file>