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jc w:val="center"/>
      </w:pPr>
      <w:r>
        <w:rPr>
          <w:rFonts w:ascii="Arial" w:cs="Arial" w:eastAsia="Arial" w:hAnsi="Arial"/>
          <w:b/>
          <w:bCs/>
          <w:color w:val="1F3864"/>
          <w:sz w:val="56"/>
          <w:szCs w:val="56"/>
        </w:rPr>
        <w:t xml:space="preserve">ARTICLE DATASET</w:t>
      </w:r>
    </w:p>
    <w:p>
      <w:pPr>
        <w:jc w:val="center"/>
      </w:pPr>
      <w:r>
        <w:rPr>
          <w:rFonts w:ascii="Arial" w:cs="Arial" w:eastAsia="Arial" w:hAnsi="Arial"/>
          <w:color w:val="2E75B6"/>
          <w:sz w:val="36"/>
          <w:szCs w:val="36"/>
        </w:rPr>
        <w:t xml:space="preserve">COMPREHENSIVE REPORT</w:t>
      </w:r>
    </w:p>
    <w:p>
      <w:pPr>
        <w:spacing w:before="120" w:after="0"/>
      </w:pPr>
    </w:p>
    <w:p>
      <w:pPr>
        <w:pBdr>
          <w:bottom w:val="single" w:color="2E75B6" w:sz="8" w:space="1"/>
        </w:pBdr>
        <w:spacing w:after="0"/>
      </w:pPr>
    </w:p>
    <w:p>
      <w:pPr>
        <w:spacing w:before="120" w:after="0"/>
      </w:pPr>
    </w:p>
    <w:p>
      <w:pPr>
        <w:jc w:val="center"/>
      </w:pPr>
      <w:r>
        <w:rPr>
          <w:rFonts w:ascii="Arial" w:cs="Arial" w:eastAsia="Arial" w:hAnsi="Arial"/>
          <w:i/>
          <w:iCs/>
          <w:color w:val="555555"/>
          <w:sz w:val="22"/>
          <w:szCs w:val="22"/>
        </w:rPr>
        <w:t xml:space="preserve">8 Articles  ·  Multiple Categories  ·  Full Analytics</w:t>
      </w:r>
    </w:p>
    <w:p>
      <w:pPr>
        <w:spacing w:before="80" w:after="0"/>
      </w:pPr>
    </w:p>
    <w:p>
      <w:pPr>
        <w:jc w:val="center"/>
      </w:pPr>
      <w:r>
        <w:rPr>
          <w:rFonts w:ascii="Arial" w:cs="Arial" w:eastAsia="Arial" w:hAnsi="Arial"/>
          <w:color w:val="777777"/>
          <w:sz w:val="20"/>
          <w:szCs w:val="20"/>
        </w:rPr>
        <w:t xml:space="preserve">Generated: March 5, 2026</w:t>
      </w:r>
    </w:p>
    <w:p>
      <w:pPr>
        <w:spacing w:before="200" w:after="0"/>
      </w:pPr>
    </w:p>
    <w:p>
      <w:r>
        <w:br w:type="page"/>
      </w:r>
    </w:p>
    <w:p>
      <w:pPr>
        <w:pStyle w:val="Heading2"/>
      </w:pPr>
      <w:r>
        <w:rPr>
          <w:rFonts w:ascii="Arial" w:cs="Arial" w:eastAsia="Arial" w:hAnsi="Arial"/>
          <w:b/>
          <w:bCs/>
          <w:sz w:val="26"/>
          <w:szCs w:val="26"/>
        </w:rPr>
        <w:t xml:space="preserve">TABLE OF CONTENTS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1.  The Future of Artificial Intelligence in Healthcare</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Dr. Emily Carter</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2.  Sustainable Architecture: Building for the Next Century</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Prof. James Alderton</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3.  Quantum Computing: Breaking Through the Noise Barrier</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Dr. Sarah Lin</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4.  The Psychology of Remote Work: Productivity, Isolation, and Balance</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Dr. Marcus Webb</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5.  Ocean Carbon Capture: Science, Scale, and Controversy</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Dr. Priya Nair</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6.  Decentralised Finance: Promise, Peril, and Regulation</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Nina Okafor</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7.  Neuroplasticity and Lifelong Learning: Rewiring the Adult Brain</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Prof. Daniel Rossi</w:t>
            </w:r>
          </w:p>
        </w:tc>
      </w:tr>
      <w:tr>
        <w:tc>
          <w:tcPr>
            <w:tcW w:type="dxa" w:w="72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sz w:val="20"/>
                <w:szCs w:val="20"/>
              </w:rPr>
              <w:t xml:space="preserve">8.  Supply Chain Resilience in a Multipolar World</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0"/>
            </w:tcMar>
          </w:tcPr>
          <w:p>
            <w:pPr>
              <w:jc w:val="right"/>
            </w:pPr>
            <w:r>
              <w:rPr>
                <w:rFonts w:ascii="Arial" w:cs="Arial" w:eastAsia="Arial" w:hAnsi="Arial"/>
                <w:i/>
                <w:iCs/>
                <w:color w:val="666666"/>
                <w:sz w:val="18"/>
                <w:szCs w:val="18"/>
              </w:rPr>
              <w:t xml:space="preserve">Dr. Anna Kovacs</w:t>
            </w:r>
          </w:p>
        </w:tc>
      </w:tr>
    </w:tbl>
    <w:p>
      <w:pPr>
        <w:spacing w:before="60" w:after="0"/>
      </w:pPr>
    </w:p>
    <w:p>
      <w:r>
        <w:br w:type="page"/>
      </w:r>
    </w:p>
    <w:p>
      <w:pPr>
        <w:pStyle w:val="Heading2"/>
      </w:pPr>
      <w:r>
        <w:rPr>
          <w:rFonts w:ascii="Arial" w:cs="Arial" w:eastAsia="Arial" w:hAnsi="Arial"/>
          <w:b/>
          <w:bCs/>
          <w:sz w:val="26"/>
          <w:szCs w:val="26"/>
        </w:rPr>
        <w:t xml:space="preserve">DATASET OVERVIEW</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 Articles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8</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 Reads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116,120</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Total Likes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11,672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Avg Engagement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9.49%</w:t>
            </w:r>
          </w:p>
        </w:tc>
      </w:tr>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Published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6 / 8</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Categories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2"/>
                <w:szCs w:val="22"/>
              </w:rPr>
              <w:t xml:space="preserve">5</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1. </w:t>
      </w:r>
      <w:r>
        <w:rPr>
          <w:rFonts w:ascii="Arial" w:cs="Arial" w:eastAsia="Arial" w:hAnsi="Arial"/>
          <w:b/>
          <w:bCs/>
          <w:sz w:val="32"/>
          <w:szCs w:val="32"/>
        </w:rPr>
        <w:t xml:space="preserve">The Future of Artificial Intelligence in Healthcare</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Dr. Emily Carter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Technology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2024-03-15</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2,850</w:t>
            </w:r>
          </w:p>
        </w:tc>
        <w:tc>
          <w:tcPr>
            <w:tcW w:type="dxa" w:w="187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Published</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An in-depth exploration of how AI-powered diagnostics, predictive analytics, and robotic surgery are transforming patient outcomes and hospital efficiency. The article examines real-world deployments across leading medical institutions and highlights ethical considerations surrounding algorithmic bias.</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AI</w:t>
      </w:r>
      <w:r>
        <w:rPr>
          <w:rFonts w:ascii="Arial" w:cs="Arial" w:eastAsia="Arial" w:hAnsi="Arial"/>
          <w:color w:val="AAAAAA"/>
          <w:sz w:val="18"/>
          <w:szCs w:val="18"/>
        </w:rPr>
        <w:t xml:space="preserve">   ·   </w:t>
      </w:r>
      <w:r>
        <w:rPr>
          <w:rFonts w:ascii="Arial" w:cs="Arial" w:eastAsia="Arial" w:hAnsi="Arial"/>
          <w:b/>
          <w:bCs/>
          <w:sz w:val="18"/>
          <w:szCs w:val="18"/>
        </w:rPr>
        <w:t xml:space="preserve">Healthcare</w:t>
      </w:r>
      <w:r>
        <w:rPr>
          <w:rFonts w:ascii="Arial" w:cs="Arial" w:eastAsia="Arial" w:hAnsi="Arial"/>
          <w:color w:val="AAAAAA"/>
          <w:sz w:val="18"/>
          <w:szCs w:val="18"/>
        </w:rPr>
        <w:t xml:space="preserve">   ·   </w:t>
      </w:r>
      <w:r>
        <w:rPr>
          <w:rFonts w:ascii="Arial" w:cs="Arial" w:eastAsia="Arial" w:hAnsi="Arial"/>
          <w:b/>
          <w:bCs/>
          <w:sz w:val="18"/>
          <w:szCs w:val="18"/>
        </w:rPr>
        <w:t xml:space="preserve">Machine Learning</w:t>
      </w:r>
      <w:r>
        <w:rPr>
          <w:rFonts w:ascii="Arial" w:cs="Arial" w:eastAsia="Arial" w:hAnsi="Arial"/>
          <w:color w:val="AAAAAA"/>
          <w:sz w:val="18"/>
          <w:szCs w:val="18"/>
        </w:rPr>
        <w:t xml:space="preserve">   ·   </w:t>
      </w:r>
      <w:r>
        <w:rPr>
          <w:rFonts w:ascii="Arial" w:cs="Arial" w:eastAsia="Arial" w:hAnsi="Arial"/>
          <w:b/>
          <w:bCs/>
          <w:sz w:val="18"/>
          <w:szCs w:val="18"/>
        </w:rPr>
        <w:t xml:space="preserve">Ethics</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14,320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1,102</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7.7%</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2. </w:t>
      </w:r>
      <w:r>
        <w:rPr>
          <w:rFonts w:ascii="Arial" w:cs="Arial" w:eastAsia="Arial" w:hAnsi="Arial"/>
          <w:b/>
          <w:bCs/>
          <w:sz w:val="32"/>
          <w:szCs w:val="32"/>
        </w:rPr>
        <w:t xml:space="preserve">Sustainable Architecture: Building for the Next Century</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Prof. James Alderton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Environment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2024-04-02</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3,120</w:t>
            </w:r>
          </w:p>
        </w:tc>
        <w:tc>
          <w:tcPr>
            <w:tcW w:type="dxa" w:w="187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Published</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A comprehensive review of net-zero building techniques, biophilic design principles, and circular material economies. Case studies from Copenhagen, Singapore, and Masdar City illustrate how cities are redefining the relationship between the built environment and ecological systems.</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Architecture</w:t>
      </w:r>
      <w:r>
        <w:rPr>
          <w:rFonts w:ascii="Arial" w:cs="Arial" w:eastAsia="Arial" w:hAnsi="Arial"/>
          <w:color w:val="AAAAAA"/>
          <w:sz w:val="18"/>
          <w:szCs w:val="18"/>
        </w:rPr>
        <w:t xml:space="preserve">   ·   </w:t>
      </w:r>
      <w:r>
        <w:rPr>
          <w:rFonts w:ascii="Arial" w:cs="Arial" w:eastAsia="Arial" w:hAnsi="Arial"/>
          <w:b/>
          <w:bCs/>
          <w:sz w:val="18"/>
          <w:szCs w:val="18"/>
        </w:rPr>
        <w:t xml:space="preserve">Sustainability</w:t>
      </w:r>
      <w:r>
        <w:rPr>
          <w:rFonts w:ascii="Arial" w:cs="Arial" w:eastAsia="Arial" w:hAnsi="Arial"/>
          <w:color w:val="AAAAAA"/>
          <w:sz w:val="18"/>
          <w:szCs w:val="18"/>
        </w:rPr>
        <w:t xml:space="preserve">   ·   </w:t>
      </w:r>
      <w:r>
        <w:rPr>
          <w:rFonts w:ascii="Arial" w:cs="Arial" w:eastAsia="Arial" w:hAnsi="Arial"/>
          <w:b/>
          <w:bCs/>
          <w:sz w:val="18"/>
          <w:szCs w:val="18"/>
        </w:rPr>
        <w:t xml:space="preserve">Green Design</w:t>
      </w:r>
      <w:r>
        <w:rPr>
          <w:rFonts w:ascii="Arial" w:cs="Arial" w:eastAsia="Arial" w:hAnsi="Arial"/>
          <w:color w:val="AAAAAA"/>
          <w:sz w:val="18"/>
          <w:szCs w:val="18"/>
        </w:rPr>
        <w:t xml:space="preserve">   ·   </w:t>
      </w:r>
      <w:r>
        <w:rPr>
          <w:rFonts w:ascii="Arial" w:cs="Arial" w:eastAsia="Arial" w:hAnsi="Arial"/>
          <w:b/>
          <w:bCs/>
          <w:sz w:val="18"/>
          <w:szCs w:val="18"/>
        </w:rPr>
        <w:t xml:space="preserve">Urban Planning</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9,870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870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8.81%</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3. </w:t>
      </w:r>
      <w:r>
        <w:rPr>
          <w:rFonts w:ascii="Arial" w:cs="Arial" w:eastAsia="Arial" w:hAnsi="Arial"/>
          <w:b/>
          <w:bCs/>
          <w:sz w:val="32"/>
          <w:szCs w:val="32"/>
        </w:rPr>
        <w:t xml:space="preserve">Quantum Computing: Breaking Through the Noise Barrier</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Dr. Sarah Lin</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Technology</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2024-04-18</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4,200</w:t>
            </w:r>
          </w:p>
        </w:tc>
        <w:tc>
          <w:tcPr>
            <w:tcW w:type="dxa" w:w="187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Published</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This article demystifies qubit decoherence and error-correction strategies that are bringing fault-tolerant quantum computers within reach. It covers recent milestones from IBM, Google, and IonQ, and forecasts commercial applications in cryptography, drug discovery, and logistics optimisation.</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Quantum</w:t>
      </w:r>
      <w:r>
        <w:rPr>
          <w:rFonts w:ascii="Arial" w:cs="Arial" w:eastAsia="Arial" w:hAnsi="Arial"/>
          <w:color w:val="AAAAAA"/>
          <w:sz w:val="18"/>
          <w:szCs w:val="18"/>
        </w:rPr>
        <w:t xml:space="preserve">   ·   </w:t>
      </w:r>
      <w:r>
        <w:rPr>
          <w:rFonts w:ascii="Arial" w:cs="Arial" w:eastAsia="Arial" w:hAnsi="Arial"/>
          <w:b/>
          <w:bCs/>
          <w:sz w:val="18"/>
          <w:szCs w:val="18"/>
        </w:rPr>
        <w:t xml:space="preserve">Computing</w:t>
      </w:r>
      <w:r>
        <w:rPr>
          <w:rFonts w:ascii="Arial" w:cs="Arial" w:eastAsia="Arial" w:hAnsi="Arial"/>
          <w:color w:val="AAAAAA"/>
          <w:sz w:val="18"/>
          <w:szCs w:val="18"/>
        </w:rPr>
        <w:t xml:space="preserve">   ·   </w:t>
      </w:r>
      <w:r>
        <w:rPr>
          <w:rFonts w:ascii="Arial" w:cs="Arial" w:eastAsia="Arial" w:hAnsi="Arial"/>
          <w:b/>
          <w:bCs/>
          <w:sz w:val="18"/>
          <w:szCs w:val="18"/>
        </w:rPr>
        <w:t xml:space="preserve">Physics</w:t>
      </w:r>
      <w:r>
        <w:rPr>
          <w:rFonts w:ascii="Arial" w:cs="Arial" w:eastAsia="Arial" w:hAnsi="Arial"/>
          <w:color w:val="AAAAAA"/>
          <w:sz w:val="18"/>
          <w:szCs w:val="18"/>
        </w:rPr>
        <w:t xml:space="preserve">   ·   </w:t>
      </w:r>
      <w:r>
        <w:rPr>
          <w:rFonts w:ascii="Arial" w:cs="Arial" w:eastAsia="Arial" w:hAnsi="Arial"/>
          <w:b/>
          <w:bCs/>
          <w:sz w:val="18"/>
          <w:szCs w:val="18"/>
        </w:rPr>
        <w:t xml:space="preserve">Cryptography</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21,050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2,310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10.97%</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4. </w:t>
      </w:r>
      <w:r>
        <w:rPr>
          <w:rFonts w:ascii="Arial" w:cs="Arial" w:eastAsia="Arial" w:hAnsi="Arial"/>
          <w:b/>
          <w:bCs/>
          <w:sz w:val="32"/>
          <w:szCs w:val="32"/>
        </w:rPr>
        <w:t xml:space="preserve">The Psychology of Remote Work: Productivity, Isolation, and Balance</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Dr. Marcus Webb</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Business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2024-05-05</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2,650</w:t>
            </w:r>
          </w:p>
        </w:tc>
        <w:tc>
          <w:tcPr>
            <w:tcW w:type="dxa" w:w="187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Published</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Drawing on longitudinal survey data from 4,000 remote workers across 12 countries, this piece analyses the cognitive and emotional dimensions of distributed work. It presents evidence-based frameworks for managers and individuals seeking to sustain high performance while protecting mental health.</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Remote Work</w:t>
      </w:r>
      <w:r>
        <w:rPr>
          <w:rFonts w:ascii="Arial" w:cs="Arial" w:eastAsia="Arial" w:hAnsi="Arial"/>
          <w:color w:val="AAAAAA"/>
          <w:sz w:val="18"/>
          <w:szCs w:val="18"/>
        </w:rPr>
        <w:t xml:space="preserve">   ·   </w:t>
      </w:r>
      <w:r>
        <w:rPr>
          <w:rFonts w:ascii="Arial" w:cs="Arial" w:eastAsia="Arial" w:hAnsi="Arial"/>
          <w:b/>
          <w:bCs/>
          <w:sz w:val="18"/>
          <w:szCs w:val="18"/>
        </w:rPr>
        <w:t xml:space="preserve">Psychology</w:t>
      </w:r>
      <w:r>
        <w:rPr>
          <w:rFonts w:ascii="Arial" w:cs="Arial" w:eastAsia="Arial" w:hAnsi="Arial"/>
          <w:color w:val="AAAAAA"/>
          <w:sz w:val="18"/>
          <w:szCs w:val="18"/>
        </w:rPr>
        <w:t xml:space="preserve">   ·   </w:t>
      </w:r>
      <w:r>
        <w:rPr>
          <w:rFonts w:ascii="Arial" w:cs="Arial" w:eastAsia="Arial" w:hAnsi="Arial"/>
          <w:b/>
          <w:bCs/>
          <w:sz w:val="18"/>
          <w:szCs w:val="18"/>
        </w:rPr>
        <w:t xml:space="preserve">Productivity</w:t>
      </w:r>
      <w:r>
        <w:rPr>
          <w:rFonts w:ascii="Arial" w:cs="Arial" w:eastAsia="Arial" w:hAnsi="Arial"/>
          <w:color w:val="AAAAAA"/>
          <w:sz w:val="18"/>
          <w:szCs w:val="18"/>
        </w:rPr>
        <w:t xml:space="preserve">   ·   </w:t>
      </w:r>
      <w:r>
        <w:rPr>
          <w:rFonts w:ascii="Arial" w:cs="Arial" w:eastAsia="Arial" w:hAnsi="Arial"/>
          <w:b/>
          <w:bCs/>
          <w:sz w:val="18"/>
          <w:szCs w:val="18"/>
        </w:rPr>
        <w:t xml:space="preserve">Wellbeing</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18,400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1,780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9.67%</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5. </w:t>
      </w:r>
      <w:r>
        <w:rPr>
          <w:rFonts w:ascii="Arial" w:cs="Arial" w:eastAsia="Arial" w:hAnsi="Arial"/>
          <w:b/>
          <w:bCs/>
          <w:sz w:val="32"/>
          <w:szCs w:val="32"/>
        </w:rPr>
        <w:t xml:space="preserve">Ocean Carbon Capture: Science, Scale, and Controversy</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Dr. Priya Nair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Environment</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2024-05-22</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3,480</w:t>
            </w:r>
          </w:p>
        </w:tc>
        <w:tc>
          <w:tcPr>
            <w:tcW w:type="dxa" w:w="187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Published</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Explores emerging ocean-based carbon removal strategies—from iron fertilisation to alkalinity enhancement—and weighs their gigaton-scale potential against ecological risks. The article calls for international governance frameworks before large-scale commercial deployment begins.</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Climate</w:t>
      </w:r>
      <w:r>
        <w:rPr>
          <w:rFonts w:ascii="Arial" w:cs="Arial" w:eastAsia="Arial" w:hAnsi="Arial"/>
          <w:color w:val="AAAAAA"/>
          <w:sz w:val="18"/>
          <w:szCs w:val="18"/>
        </w:rPr>
        <w:t xml:space="preserve">   ·   </w:t>
      </w:r>
      <w:r>
        <w:rPr>
          <w:rFonts w:ascii="Arial" w:cs="Arial" w:eastAsia="Arial" w:hAnsi="Arial"/>
          <w:b/>
          <w:bCs/>
          <w:sz w:val="18"/>
          <w:szCs w:val="18"/>
        </w:rPr>
        <w:t xml:space="preserve">Ocean</w:t>
      </w:r>
      <w:r>
        <w:rPr>
          <w:rFonts w:ascii="Arial" w:cs="Arial" w:eastAsia="Arial" w:hAnsi="Arial"/>
          <w:color w:val="AAAAAA"/>
          <w:sz w:val="18"/>
          <w:szCs w:val="18"/>
        </w:rPr>
        <w:t xml:space="preserve">   ·   </w:t>
      </w:r>
      <w:r>
        <w:rPr>
          <w:rFonts w:ascii="Arial" w:cs="Arial" w:eastAsia="Arial" w:hAnsi="Arial"/>
          <w:b/>
          <w:bCs/>
          <w:sz w:val="18"/>
          <w:szCs w:val="18"/>
        </w:rPr>
        <w:t xml:space="preserve">Carbon Capture</w:t>
      </w:r>
      <w:r>
        <w:rPr>
          <w:rFonts w:ascii="Arial" w:cs="Arial" w:eastAsia="Arial" w:hAnsi="Arial"/>
          <w:color w:val="AAAAAA"/>
          <w:sz w:val="18"/>
          <w:szCs w:val="18"/>
        </w:rPr>
        <w:t xml:space="preserve">   ·   </w:t>
      </w:r>
      <w:r>
        <w:rPr>
          <w:rFonts w:ascii="Arial" w:cs="Arial" w:eastAsia="Arial" w:hAnsi="Arial"/>
          <w:b/>
          <w:bCs/>
          <w:sz w:val="18"/>
          <w:szCs w:val="18"/>
        </w:rPr>
        <w:t xml:space="preserve">Policy</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7,630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640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8.39%</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6. </w:t>
      </w:r>
      <w:r>
        <w:rPr>
          <w:rFonts w:ascii="Arial" w:cs="Arial" w:eastAsia="Arial" w:hAnsi="Arial"/>
          <w:b/>
          <w:bCs/>
          <w:sz w:val="32"/>
          <w:szCs w:val="32"/>
        </w:rPr>
        <w:t xml:space="preserve">Decentralised Finance: Promise, Peril, and Regulation</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Nina Okafor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Finance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2024-06-10</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3,900</w:t>
            </w:r>
          </w:p>
        </w:tc>
        <w:tc>
          <w:tcPr>
            <w:tcW w:type="dxa" w:w="1872"/>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Published</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A rigorous examination of DeFi protocols—DEXs, lending platforms, and yield aggregators—contrasting their democratising potential with systemic risks exposed by high-profile exploits. Reviews the evolving regulatory landscape in the EU, US, and Asia-Pacific.</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DeFi</w:t>
      </w:r>
      <w:r>
        <w:rPr>
          <w:rFonts w:ascii="Arial" w:cs="Arial" w:eastAsia="Arial" w:hAnsi="Arial"/>
          <w:color w:val="AAAAAA"/>
          <w:sz w:val="18"/>
          <w:szCs w:val="18"/>
        </w:rPr>
        <w:t xml:space="preserve">   ·   </w:t>
      </w:r>
      <w:r>
        <w:rPr>
          <w:rFonts w:ascii="Arial" w:cs="Arial" w:eastAsia="Arial" w:hAnsi="Arial"/>
          <w:b/>
          <w:bCs/>
          <w:sz w:val="18"/>
          <w:szCs w:val="18"/>
        </w:rPr>
        <w:t xml:space="preserve">Blockchain</w:t>
      </w:r>
      <w:r>
        <w:rPr>
          <w:rFonts w:ascii="Arial" w:cs="Arial" w:eastAsia="Arial" w:hAnsi="Arial"/>
          <w:color w:val="AAAAAA"/>
          <w:sz w:val="18"/>
          <w:szCs w:val="18"/>
        </w:rPr>
        <w:t xml:space="preserve">   ·   </w:t>
      </w:r>
      <w:r>
        <w:rPr>
          <w:rFonts w:ascii="Arial" w:cs="Arial" w:eastAsia="Arial" w:hAnsi="Arial"/>
          <w:b/>
          <w:bCs/>
          <w:sz w:val="18"/>
          <w:szCs w:val="18"/>
        </w:rPr>
        <w:t xml:space="preserve">Finance</w:t>
      </w:r>
      <w:r>
        <w:rPr>
          <w:rFonts w:ascii="Arial" w:cs="Arial" w:eastAsia="Arial" w:hAnsi="Arial"/>
          <w:color w:val="AAAAAA"/>
          <w:sz w:val="18"/>
          <w:szCs w:val="18"/>
        </w:rPr>
        <w:t xml:space="preserve">   ·   </w:t>
      </w:r>
      <w:r>
        <w:rPr>
          <w:rFonts w:ascii="Arial" w:cs="Arial" w:eastAsia="Arial" w:hAnsi="Arial"/>
          <w:b/>
          <w:bCs/>
          <w:sz w:val="18"/>
          <w:szCs w:val="18"/>
        </w:rPr>
        <w:t xml:space="preserve">Regulation</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25,100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3,050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12.15%</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7. </w:t>
      </w:r>
      <w:r>
        <w:rPr>
          <w:rFonts w:ascii="Arial" w:cs="Arial" w:eastAsia="Arial" w:hAnsi="Arial"/>
          <w:b/>
          <w:bCs/>
          <w:sz w:val="32"/>
          <w:szCs w:val="32"/>
        </w:rPr>
        <w:t xml:space="preserve">Neuroplasticity and Lifelong Learning: Rewiring the Adult Brain</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Prof. Daniel Rossi</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Science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2024-06-28</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2,970</w:t>
            </w:r>
          </w:p>
        </w:tc>
        <w:tc>
          <w:tcPr>
            <w:tcW w:type="dxa" w:w="1872"/>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Review</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Synthesises decades of neuroscience research to challenge the myth that adult brains are fixed. Practical implications for education, rehabilitation, and cognitive longevity are illustrated through clinical trials and first-person case narratives.</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Neuroscience</w:t>
      </w:r>
      <w:r>
        <w:rPr>
          <w:rFonts w:ascii="Arial" w:cs="Arial" w:eastAsia="Arial" w:hAnsi="Arial"/>
          <w:color w:val="AAAAAA"/>
          <w:sz w:val="18"/>
          <w:szCs w:val="18"/>
        </w:rPr>
        <w:t xml:space="preserve">   ·   </w:t>
      </w:r>
      <w:r>
        <w:rPr>
          <w:rFonts w:ascii="Arial" w:cs="Arial" w:eastAsia="Arial" w:hAnsi="Arial"/>
          <w:b/>
          <w:bCs/>
          <w:sz w:val="18"/>
          <w:szCs w:val="18"/>
        </w:rPr>
        <w:t xml:space="preserve">Learning</w:t>
      </w:r>
      <w:r>
        <w:rPr>
          <w:rFonts w:ascii="Arial" w:cs="Arial" w:eastAsia="Arial" w:hAnsi="Arial"/>
          <w:color w:val="AAAAAA"/>
          <w:sz w:val="18"/>
          <w:szCs w:val="18"/>
        </w:rPr>
        <w:t xml:space="preserve">   ·   </w:t>
      </w:r>
      <w:r>
        <w:rPr>
          <w:rFonts w:ascii="Arial" w:cs="Arial" w:eastAsia="Arial" w:hAnsi="Arial"/>
          <w:b/>
          <w:bCs/>
          <w:sz w:val="18"/>
          <w:szCs w:val="18"/>
        </w:rPr>
        <w:t xml:space="preserve">Brain</w:t>
      </w:r>
      <w:r>
        <w:rPr>
          <w:rFonts w:ascii="Arial" w:cs="Arial" w:eastAsia="Arial" w:hAnsi="Arial"/>
          <w:color w:val="AAAAAA"/>
          <w:sz w:val="18"/>
          <w:szCs w:val="18"/>
        </w:rPr>
        <w:t xml:space="preserve">   ·   </w:t>
      </w:r>
      <w:r>
        <w:rPr>
          <w:rFonts w:ascii="Arial" w:cs="Arial" w:eastAsia="Arial" w:hAnsi="Arial"/>
          <w:b/>
          <w:bCs/>
          <w:sz w:val="18"/>
          <w:szCs w:val="18"/>
        </w:rPr>
        <w:t xml:space="preserve">Education</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12,800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1,430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11.17%</w:t>
            </w:r>
          </w:p>
          <w:p>
            <w:pPr>
              <w:jc w:val="center"/>
            </w:pPr>
            <w:r>
              <w:rPr>
                <w:rFonts w:ascii="Arial" w:cs="Arial" w:eastAsia="Arial" w:hAnsi="Arial"/>
                <w:color w:val="666666"/>
                <w:sz w:val="16"/>
                <w:szCs w:val="16"/>
              </w:rPr>
              <w:t xml:space="preserve">Engagement</w:t>
            </w:r>
          </w:p>
        </w:tc>
      </w:tr>
    </w:tbl>
    <w:p>
      <w:pPr>
        <w:spacing w:before="60" w:after="0"/>
      </w:pPr>
    </w:p>
    <w:p>
      <w:r>
        <w:br w:type="page"/>
      </w:r>
    </w:p>
    <w:p>
      <w:pPr>
        <w:spacing w:before="200" w:after="0"/>
      </w:pPr>
    </w:p>
    <w:p>
      <w:pPr>
        <w:pStyle w:val="Heading1"/>
      </w:pPr>
      <w:r>
        <w:rPr>
          <w:rFonts w:ascii="Arial" w:cs="Arial" w:eastAsia="Arial" w:hAnsi="Arial"/>
          <w:b/>
          <w:bCs/>
          <w:sz w:val="32"/>
          <w:szCs w:val="32"/>
        </w:rPr>
        <w:t xml:space="preserve">8. </w:t>
      </w:r>
      <w:r>
        <w:rPr>
          <w:rFonts w:ascii="Arial" w:cs="Arial" w:eastAsia="Arial" w:hAnsi="Arial"/>
          <w:b/>
          <w:bCs/>
          <w:sz w:val="32"/>
          <w:szCs w:val="32"/>
        </w:rPr>
        <w:t xml:space="preserve">Supply Chain Resilience in a Multipolar World</w:t>
      </w:r>
    </w:p>
    <w:p>
      <w:pPr>
        <w:pBdr>
          <w:bottom w:val="single" w:color="2E75B6" w:sz="8" w:space="1"/>
        </w:pBdr>
        <w:spacing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Author</w:t>
            </w:r>
          </w:p>
          <w:p>
            <w:r>
              <w:rPr>
                <w:rFonts w:ascii="Arial" w:cs="Arial" w:eastAsia="Arial" w:hAnsi="Arial"/>
                <w:b w:val="false"/>
                <w:bCs w:val="false"/>
                <w:sz w:val="18"/>
                <w:szCs w:val="18"/>
              </w:rPr>
              <w:t xml:space="preserve">Dr. Anna Kovacs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Category</w:t>
            </w:r>
          </w:p>
          <w:p>
            <w:r>
              <w:rPr>
                <w:rFonts w:ascii="Arial" w:cs="Arial" w:eastAsia="Arial" w:hAnsi="Arial"/>
                <w:b w:val="false"/>
                <w:bCs w:val="false"/>
                <w:sz w:val="18"/>
                <w:szCs w:val="18"/>
              </w:rPr>
              <w:t xml:space="preserve">Business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Date</w:t>
            </w:r>
          </w:p>
          <w:p>
            <w:r>
              <w:rPr>
                <w:rFonts w:ascii="Arial" w:cs="Arial" w:eastAsia="Arial" w:hAnsi="Arial"/>
                <w:b w:val="false"/>
                <w:bCs w:val="false"/>
                <w:sz w:val="18"/>
                <w:szCs w:val="18"/>
              </w:rPr>
              <w:t xml:space="preserve">2024-07-14</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555555"/>
                <w:sz w:val="16"/>
                <w:szCs w:val="16"/>
              </w:rPr>
              <w:t xml:space="preserve">Word Count</w:t>
            </w:r>
          </w:p>
          <w:p>
            <w:r>
              <w:rPr>
                <w:rFonts w:ascii="Arial" w:cs="Arial" w:eastAsia="Arial" w:hAnsi="Arial"/>
                <w:b w:val="false"/>
                <w:bCs w:val="false"/>
                <w:sz w:val="18"/>
                <w:szCs w:val="18"/>
              </w:rPr>
              <w:t xml:space="preserve">3,340</w:t>
            </w:r>
          </w:p>
        </w:tc>
        <w:tc>
          <w:tcPr>
            <w:tcW w:type="dxa" w:w="1872"/>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r>
              <w:rPr>
                <w:rFonts w:ascii="Arial" w:cs="Arial" w:eastAsia="Arial" w:hAnsi="Arial"/>
                <w:b/>
                <w:bCs/>
                <w:color w:val="555555"/>
                <w:sz w:val="16"/>
                <w:szCs w:val="16"/>
              </w:rPr>
              <w:t xml:space="preserve">Status</w:t>
            </w:r>
          </w:p>
          <w:p>
            <w:r>
              <w:rPr>
                <w:rFonts w:ascii="Arial" w:cs="Arial" w:eastAsia="Arial" w:hAnsi="Arial"/>
                <w:b/>
                <w:bCs/>
                <w:sz w:val="18"/>
                <w:szCs w:val="18"/>
              </w:rPr>
              <w:t xml:space="preserve">Draft</w:t>
            </w:r>
          </w:p>
        </w:tc>
      </w:tr>
    </w:tbl>
    <w:p>
      <w:pPr>
        <w:spacing w:before="100" w:after="0"/>
      </w:pPr>
    </w:p>
    <w:p>
      <w:r>
        <w:rPr>
          <w:rFonts w:ascii="Arial" w:cs="Arial" w:eastAsia="Arial" w:hAnsi="Arial"/>
          <w:b/>
          <w:bCs/>
          <w:color w:val="2E75B6"/>
          <w:sz w:val="18"/>
          <w:szCs w:val="18"/>
        </w:rPr>
        <w:t xml:space="preserve">SUMMARY</w:t>
      </w:r>
    </w:p>
    <w:p>
      <w:pPr>
        <w:spacing w:before="40" w:after="0"/>
      </w:pPr>
    </w:p>
    <w:p>
      <w:pPr>
        <w:spacing w:line="360"/>
      </w:pPr>
      <w:r>
        <w:rPr>
          <w:rFonts w:ascii="Arial" w:cs="Arial" w:eastAsia="Arial" w:hAnsi="Arial"/>
          <w:sz w:val="20"/>
          <w:szCs w:val="20"/>
        </w:rPr>
        <w:t xml:space="preserve">Analyses how geopolitical fragmentation, climate disruption, and pandemic aftershocks are forcing companies to rethink just-in-time logistics. Proposes a resilience index framework and benchmarks leading multinationals against it using publicly available disclosure data.</w:t>
      </w:r>
    </w:p>
    <w:p>
      <w:pPr>
        <w:spacing w:before="100" w:after="0"/>
      </w:pPr>
    </w:p>
    <w:p>
      <w:r>
        <w:rPr>
          <w:rFonts w:ascii="Arial" w:cs="Arial" w:eastAsia="Arial" w:hAnsi="Arial"/>
          <w:b/>
          <w:bCs/>
          <w:color w:val="2E75B6"/>
          <w:sz w:val="18"/>
          <w:szCs w:val="18"/>
        </w:rPr>
        <w:t xml:space="preserve">TAGS</w:t>
      </w:r>
    </w:p>
    <w:p>
      <w:pPr>
        <w:spacing w:before="40" w:after="0"/>
      </w:pPr>
    </w:p>
    <w:p>
      <w:r>
        <w:rPr>
          <w:rFonts w:ascii="Arial" w:cs="Arial" w:eastAsia="Arial" w:hAnsi="Arial"/>
          <w:b/>
          <w:bCs/>
          <w:sz w:val="18"/>
          <w:szCs w:val="18"/>
        </w:rPr>
        <w:t xml:space="preserve">Supply Chain</w:t>
      </w:r>
      <w:r>
        <w:rPr>
          <w:rFonts w:ascii="Arial" w:cs="Arial" w:eastAsia="Arial" w:hAnsi="Arial"/>
          <w:color w:val="AAAAAA"/>
          <w:sz w:val="18"/>
          <w:szCs w:val="18"/>
        </w:rPr>
        <w:t xml:space="preserve">   ·   </w:t>
      </w:r>
      <w:r>
        <w:rPr>
          <w:rFonts w:ascii="Arial" w:cs="Arial" w:eastAsia="Arial" w:hAnsi="Arial"/>
          <w:b/>
          <w:bCs/>
          <w:sz w:val="18"/>
          <w:szCs w:val="18"/>
        </w:rPr>
        <w:t xml:space="preserve">Geopolitics</w:t>
      </w:r>
      <w:r>
        <w:rPr>
          <w:rFonts w:ascii="Arial" w:cs="Arial" w:eastAsia="Arial" w:hAnsi="Arial"/>
          <w:color w:val="AAAAAA"/>
          <w:sz w:val="18"/>
          <w:szCs w:val="18"/>
        </w:rPr>
        <w:t xml:space="preserve">   ·   </w:t>
      </w:r>
      <w:r>
        <w:rPr>
          <w:rFonts w:ascii="Arial" w:cs="Arial" w:eastAsia="Arial" w:hAnsi="Arial"/>
          <w:b/>
          <w:bCs/>
          <w:sz w:val="18"/>
          <w:szCs w:val="18"/>
        </w:rPr>
        <w:t xml:space="preserve">Logistics</w:t>
      </w:r>
      <w:r>
        <w:rPr>
          <w:rFonts w:ascii="Arial" w:cs="Arial" w:eastAsia="Arial" w:hAnsi="Arial"/>
          <w:color w:val="AAAAAA"/>
          <w:sz w:val="18"/>
          <w:szCs w:val="18"/>
        </w:rPr>
        <w:t xml:space="preserve">   ·   </w:t>
      </w:r>
      <w:r>
        <w:rPr>
          <w:rFonts w:ascii="Arial" w:cs="Arial" w:eastAsia="Arial" w:hAnsi="Arial"/>
          <w:b/>
          <w:bCs/>
          <w:sz w:val="18"/>
          <w:szCs w:val="18"/>
        </w:rPr>
        <w:t xml:space="preserve">Risk</w:t>
      </w:r>
      <w:r>
        <w:t xml:space="preserve"/>
      </w:r>
    </w:p>
    <w:p>
      <w:pPr>
        <w:spacing w:before="100" w:after="0"/>
      </w:pPr>
    </w:p>
    <w:p>
      <w:r>
        <w:rPr>
          <w:rFonts w:ascii="Arial" w:cs="Arial" w:eastAsia="Arial" w:hAnsi="Arial"/>
          <w:b/>
          <w:bCs/>
          <w:color w:val="2E75B6"/>
          <w:sz w:val="18"/>
          <w:szCs w:val="18"/>
        </w:rPr>
        <w:t xml:space="preserve">PERFORMANCE METRICS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2E75B6"/>
                <w:sz w:val="28"/>
                <w:szCs w:val="28"/>
              </w:rPr>
              <w:t xml:space="preserve">6,950</w:t>
            </w:r>
          </w:p>
          <w:p>
            <w:pPr>
              <w:jc w:val="center"/>
            </w:pPr>
            <w:r>
              <w:rPr>
                <w:rFonts w:ascii="Arial" w:cs="Arial" w:eastAsia="Arial" w:hAnsi="Arial"/>
                <w:color w:val="666666"/>
                <w:sz w:val="16"/>
                <w:szCs w:val="16"/>
              </w:rPr>
              <w:t xml:space="preserve">Reads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3864"/>
                <w:sz w:val="28"/>
                <w:szCs w:val="28"/>
              </w:rPr>
              <w:t xml:space="preserve">490</w:t>
            </w:r>
          </w:p>
          <w:p>
            <w:pPr>
              <w:jc w:val="center"/>
            </w:pPr>
            <w:r>
              <w:rPr>
                <w:rFonts w:ascii="Arial" w:cs="Arial" w:eastAsia="Arial" w:hAnsi="Arial"/>
                <w:color w:val="666666"/>
                <w:sz w:val="16"/>
                <w:szCs w:val="16"/>
              </w:rPr>
              <w:t xml:space="preserve">Likes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E97132"/>
                <w:sz w:val="28"/>
                <w:szCs w:val="28"/>
              </w:rPr>
              <w:t xml:space="preserve">7.05%</w:t>
            </w:r>
          </w:p>
          <w:p>
            <w:pPr>
              <w:jc w:val="center"/>
            </w:pPr>
            <w:r>
              <w:rPr>
                <w:rFonts w:ascii="Arial" w:cs="Arial" w:eastAsia="Arial" w:hAnsi="Arial"/>
                <w:color w:val="666666"/>
                <w:sz w:val="16"/>
                <w:szCs w:val="16"/>
              </w:rPr>
              <w:t xml:space="preserve">Engagement</w:t>
            </w:r>
          </w:p>
        </w:tc>
      </w:tr>
    </w:tbl>
    <w:p>
      <w:pPr>
        <w:spacing w:before="6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Generated by File Export System  ·  8 Articles</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Article Dataset Report</w:t>
    </w:r>
    <w:r>
      <w:rPr>
        <w:rFonts w:ascii="Arial" w:cs="Arial" w:eastAsia="Arial" w:hAnsi="Arial"/>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2026-03-05T05:25:45.184Z</dcterms:created>
  <dcterms:modified xsi:type="dcterms:W3CDTF">2026-03-05T05:25:45.184Z</dcterms:modified>
</cp:coreProperties>
</file>

<file path=docProps/custom.xml><?xml version="1.0" encoding="utf-8"?>
<Properties xmlns="http://schemas.openxmlformats.org/officeDocument/2006/custom-properties" xmlns:vt="http://schemas.openxmlformats.org/officeDocument/2006/docPropsVTypes"/>
</file>