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762002"/>
    <w:p w14:paraId="56B6B927"/>
    <w:p w14:paraId="3AE9F17F"/>
    <w:p w14:paraId="3BE2774B"/>
    <w:p w14:paraId="7A075022">
      <w:pPr>
        <w:spacing w:line="360" w:lineRule="auto"/>
        <w:jc w:val="center"/>
      </w:pPr>
      <w:r>
        <w:rPr>
          <w:rFonts w:ascii="Times New Roman" w:hAnsi="Times New Roman"/>
          <w:b/>
          <w:sz w:val="32"/>
        </w:rPr>
        <w:t>RXSHEILD AI: A CLINICAL PRESCRIPTION SAFETY AND DRUG INTERACTION ADVISOR</w:t>
      </w:r>
      <w:r>
        <w:rPr>
          <w:rFonts w:ascii="Times New Roman" w:hAnsi="Times New Roman"/>
          <w:b/>
          <w:sz w:val="32"/>
        </w:rPr>
        <w:br w:type="textWrapping"/>
      </w:r>
    </w:p>
    <w:p w14:paraId="059A2B08">
      <w:pPr>
        <w:spacing w:line="360" w:lineRule="auto"/>
        <w:jc w:val="center"/>
      </w:pPr>
      <w:r>
        <w:rPr>
          <w:rFonts w:ascii="Times New Roman" w:hAnsi="Times New Roman"/>
          <w:i/>
          <w:sz w:val="24"/>
        </w:rPr>
        <w:t>A Hospital-Grade Electronic Healthcare Safety and Diagnostic Workstation powered by Artificial Intelligence</w:t>
      </w: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br w:type="textWrapping"/>
      </w:r>
      <w:r>
        <w:rPr>
          <w:rFonts w:ascii="Times New Roman" w:hAnsi="Times New Roman"/>
          <w:i/>
          <w:sz w:val="24"/>
        </w:rPr>
        <w:br w:type="textWrapping"/>
      </w:r>
    </w:p>
    <w:p w14:paraId="06717CFE"/>
    <w:p w14:paraId="4AD4E0C2"/>
    <w:p w14:paraId="63BF4D10"/>
    <w:p w14:paraId="3CFC4FCE">
      <w:pPr>
        <w:spacing w:line="360" w:lineRule="auto"/>
        <w:jc w:val="center"/>
      </w:pPr>
      <w:r>
        <w:rPr>
          <w:rFonts w:ascii="Times New Roman" w:hAnsi="Times New Roman"/>
          <w:sz w:val="24"/>
        </w:rPr>
        <w:t>A Project Report submitted in partial fulfillment of the requirements for the award of the degree of</w:t>
      </w:r>
      <w:r>
        <w:rPr>
          <w:rFonts w:ascii="Times New Roman" w:hAnsi="Times New Roman"/>
          <w:sz w:val="24"/>
        </w:rPr>
        <w:br w:type="textWrapping"/>
      </w:r>
      <w:r>
        <w:rPr>
          <w:rFonts w:ascii="Times New Roman" w:hAnsi="Times New Roman"/>
          <w:sz w:val="24"/>
        </w:rPr>
        <w:t>Bachelor of Engineering</w:t>
      </w:r>
      <w:r>
        <w:rPr>
          <w:rFonts w:ascii="Times New Roman" w:hAnsi="Times New Roman"/>
          <w:sz w:val="24"/>
        </w:rPr>
        <w:br w:type="textWrapping"/>
      </w:r>
      <w:r>
        <w:rPr>
          <w:rFonts w:ascii="Times New Roman" w:hAnsi="Times New Roman"/>
          <w:sz w:val="24"/>
        </w:rPr>
        <w:t>in</w:t>
      </w:r>
      <w:r>
        <w:rPr>
          <w:rFonts w:ascii="Times New Roman" w:hAnsi="Times New Roman"/>
          <w:sz w:val="24"/>
        </w:rPr>
        <w:br w:type="textWrapping"/>
      </w:r>
      <w:r>
        <w:rPr>
          <w:rFonts w:ascii="Times New Roman" w:hAnsi="Times New Roman"/>
          <w:sz w:val="24"/>
        </w:rPr>
        <w:t>Computer Science and Engineering (Artificial Intelligence)</w:t>
      </w:r>
      <w:r>
        <w:rPr>
          <w:rFonts w:ascii="Times New Roman" w:hAnsi="Times New Roman"/>
          <w:sz w:val="24"/>
        </w:rPr>
        <w:br w:type="textWrapping"/>
      </w:r>
      <w:r>
        <w:rPr>
          <w:rFonts w:ascii="Times New Roman" w:hAnsi="Times New Roman"/>
          <w:sz w:val="24"/>
        </w:rPr>
        <w:br w:type="textWrapping"/>
      </w:r>
      <w:r>
        <w:rPr>
          <w:rFonts w:ascii="Times New Roman" w:hAnsi="Times New Roman"/>
          <w:sz w:val="24"/>
        </w:rPr>
        <w:br w:type="textWrapping"/>
      </w:r>
    </w:p>
    <w:p w14:paraId="368E6861">
      <w:pPr>
        <w:spacing w:line="360" w:lineRule="auto"/>
        <w:jc w:val="center"/>
      </w:pPr>
      <w:r>
        <w:rPr>
          <w:rFonts w:ascii="Times New Roman" w:hAnsi="Times New Roman"/>
          <w:sz w:val="24"/>
        </w:rPr>
        <w:t>DEPARTMENT OF COMPUTER SCIENCE &amp; ENGINEERING - AI</w:t>
      </w:r>
      <w:r>
        <w:rPr>
          <w:rFonts w:ascii="Times New Roman" w:hAnsi="Times New Roman"/>
          <w:sz w:val="24"/>
        </w:rPr>
        <w:br w:type="textWrapping"/>
      </w:r>
      <w:r>
        <w:rPr>
          <w:rFonts w:ascii="Times New Roman" w:hAnsi="Times New Roman"/>
          <w:sz w:val="24"/>
        </w:rPr>
        <w:t>BHARASAN KALYANA TRUST INSTITUTE OF TECHNOLOGY &amp; MANAGEMENT</w:t>
      </w:r>
      <w:r>
        <w:rPr>
          <w:rFonts w:ascii="Times New Roman" w:hAnsi="Times New Roman"/>
          <w:sz w:val="24"/>
        </w:rPr>
        <w:br w:type="textWrapping"/>
      </w:r>
      <w:r>
        <w:rPr>
          <w:rFonts w:ascii="Times New Roman" w:hAnsi="Times New Roman"/>
          <w:sz w:val="24"/>
        </w:rPr>
        <w:t>(BITM), BELLARY - 583104</w:t>
      </w:r>
      <w:r>
        <w:rPr>
          <w:rFonts w:ascii="Times New Roman" w:hAnsi="Times New Roman"/>
          <w:sz w:val="24"/>
        </w:rPr>
        <w:br w:type="textWrapping"/>
      </w:r>
      <w:r>
        <w:rPr>
          <w:rFonts w:ascii="Times New Roman" w:hAnsi="Times New Roman"/>
          <w:sz w:val="24"/>
        </w:rPr>
        <w:t>2026</w:t>
      </w:r>
      <w:r>
        <w:rPr>
          <w:rFonts w:ascii="Times New Roman" w:hAnsi="Times New Roman"/>
          <w:sz w:val="24"/>
        </w:rPr>
        <w:br w:type="textWrapping"/>
      </w:r>
    </w:p>
    <w:p w14:paraId="10472337">
      <w:r>
        <w:br w:type="page"/>
      </w:r>
    </w:p>
    <w:p w14:paraId="141E9D85">
      <w:pPr>
        <w:keepNext/>
        <w:spacing w:before="280" w:after="80" w:line="360" w:lineRule="auto"/>
        <w:jc w:val="both"/>
      </w:pPr>
      <w:r>
        <w:rPr>
          <w:rFonts w:ascii="Times New Roman" w:hAnsi="Times New Roman"/>
          <w:b/>
          <w:sz w:val="32"/>
        </w:rPr>
        <w:t>1. Abstract</w:t>
      </w:r>
    </w:p>
    <w:p w14:paraId="758DB50E">
      <w:pPr>
        <w:spacing w:after="80" w:line="360" w:lineRule="auto"/>
        <w:jc w:val="both"/>
      </w:pPr>
      <w:r>
        <w:rPr>
          <w:rFonts w:ascii="Times New Roman" w:hAnsi="Times New Roman"/>
          <w:sz w:val="24"/>
        </w:rPr>
        <w:t>In modern clinical environments, the safety of patient prescriptions is a primary determinant of healthcare quality. Adverse drug events (ADEs), stemming from drug-to-drug interactions (DDIs), patient-specific drug allergies, and condition-specific contraindications, represent a leading cause of preventable patient morbidity, prolonged hospitalizations, and escalating clinical expenses globally [1]. Despite the implementation of electronic health record systems, legacy Clinical Decision Support Systems (CDSS) suffer from severe design deficiencies. These include high alert-fatigue rates due to undifferentiated, text-heavy warning screens, an absence of visual organ-specific toxicological modeling, and a lack of integrated clinical guidance to resolve flagged conflicts [2]. This project introduces RXSheild AI, a state-of-the-art clinical safety advisor and diagnostic workstation designed to address these gaps through a modern, glassmorphic interface and highly integrated safety compilation algorithms [3].</w:t>
      </w:r>
    </w:p>
    <w:p w14:paraId="5867CDB3">
      <w:pPr>
        <w:spacing w:after="80" w:line="360" w:lineRule="auto"/>
        <w:jc w:val="both"/>
      </w:pPr>
      <w:r>
        <w:rPr>
          <w:rFonts w:ascii="Times New Roman" w:hAnsi="Times New Roman"/>
          <w:sz w:val="24"/>
        </w:rPr>
        <w:t>RXSheild AI integrates three core software innovations. First, it features a real-time clinical safety compiler that matches multi-drug regimens against an extensive, preloaded medical database of over 500 pharmaceutical agents, mapping interaction categories, chemical classes, and condition warnings. Second, the system introduces a 3D Medical Human Body X-ray visualizer. This visualizer calculates cumulative organ workloads (modeled as percentage toxicities) for eight major organs—the brain, lungs, heart, liver, stomach, kidneys, intestines, and bladder—and projects them as dynamic, color-coded glows onto a transparent, front-facing anatomical model [4]. Third, an automated alternative suggestion engine computes clinically safe drug substitutions. These recommendations are ranked using a multi-criteria utility formula that balances safety ratings, interaction risks, and estimated price ranges, allowing clinicians to resolve safety conflicts with a single click. A dynamic, node-based network graph is also integrated to visualize the prescription's overall risk topology, mapping drugs as nodes and interactions as colored edges [5].</w:t>
      </w:r>
    </w:p>
    <w:p w14:paraId="214B305C">
      <w:pPr>
        <w:spacing w:after="80" w:line="360" w:lineRule="auto"/>
        <w:jc w:val="both"/>
      </w:pPr>
      <w:r>
        <w:rPr>
          <w:rFonts w:ascii="Times New Roman" w:hAnsi="Times New Roman"/>
          <w:sz w:val="24"/>
        </w:rPr>
        <w:t>Simulated clinical evaluations were conducted on patient profiles representing co-morbid cardiovascular, metabolic, and respiratory conditions. The findings indicate that RXSheild AI achieves a 100% detection rate for database-mapped conflicts while significantly reducing the cognitive load of prescribing clinicians by replacing text lists with visual impact cues. The modular, fully responsive architecture built with React, Tailwind CSS, Express, and a fallback JSON database is ready for deployment in outpatient clinics, local pharmacies, and emergency rooms, representing a major advancement in clinical decision support and medication safety [6].</w:t>
      </w:r>
    </w:p>
    <w:p w14:paraId="5C8AF537">
      <w:pPr>
        <w:keepNext/>
        <w:spacing w:before="280" w:after="80" w:line="360" w:lineRule="auto"/>
        <w:jc w:val="both"/>
      </w:pPr>
      <w:r>
        <w:rPr>
          <w:rFonts w:ascii="Times New Roman" w:hAnsi="Times New Roman"/>
          <w:b/>
          <w:sz w:val="32"/>
        </w:rPr>
        <w:t>2. Keywords</w:t>
      </w:r>
    </w:p>
    <w:p w14:paraId="59EE16DF">
      <w:pPr>
        <w:spacing w:after="80" w:line="360" w:lineRule="auto"/>
        <w:jc w:val="both"/>
      </w:pPr>
      <w:r>
        <w:rPr>
          <w:rFonts w:ascii="Times New Roman" w:hAnsi="Times New Roman"/>
          <w:sz w:val="24"/>
        </w:rPr>
        <w:t>Clinical Decision Support System (CDSS), Drug-Drug Interactions (DDIs), Pharmacovigilance, Adverse Drug Events (ADEs), Glassmorphism, 3D Medical X-ray Visualization, Organ Load Scoring, Interaction Network Graph, Electronic Health Records (EHR), Alternative Drug Selection, Clinical Diagnostic Workstation, RXSheild AI.</w:t>
      </w:r>
    </w:p>
    <w:p w14:paraId="1DF04553">
      <w:pPr>
        <w:keepNext/>
        <w:spacing w:before="280" w:after="80" w:line="360" w:lineRule="auto"/>
        <w:jc w:val="both"/>
      </w:pPr>
      <w:r>
        <w:rPr>
          <w:rFonts w:ascii="Times New Roman" w:hAnsi="Times New Roman"/>
          <w:b/>
          <w:sz w:val="32"/>
        </w:rPr>
        <w:t>3. Introduction</w:t>
      </w:r>
    </w:p>
    <w:p w14:paraId="25A0529A">
      <w:pPr>
        <w:spacing w:after="80" w:line="360" w:lineRule="auto"/>
        <w:jc w:val="both"/>
      </w:pPr>
      <w:r>
        <w:rPr>
          <w:rFonts w:ascii="Times New Roman" w:hAnsi="Times New Roman"/>
          <w:sz w:val="24"/>
        </w:rPr>
        <w:t>The pharmaceutical industry has experienced unprecedented growth over the past century, resulting in the discovery of thousands of active molecules capable of managing chronic illnesses, curing infectious diseases, and significantly increasing human life expectancy [7]. However, as the global population ages and multi-morbidity becomes the norm, the practice of polypharmacy—defined as the concurrent prescribing of five or more medications to a single patient—has increased dramatically [8]. Polypharmacy introduces complex biological variables, where multiple drugs compete for metabolic pathways, bind to overlapping receptors, and cause cumulative organ burdens. The resulting adverse drug events (ADEs) represent a major healthcare burden, contributing to thousands of preventable deaths, readmissions, and billions of dollars in excess costs annually. A large portion of these events is entirely preventable, caused by recognized drug-drug interactions (DDIs), patient allergies, or condition contraindications that were overlooked during the busy clinical prescribing workflow [9].</w:t>
      </w:r>
    </w:p>
    <w:p w14:paraId="128DA26F">
      <w:pPr>
        <w:keepNext/>
        <w:spacing w:before="200" w:after="80" w:line="360" w:lineRule="auto"/>
        <w:jc w:val="both"/>
      </w:pPr>
      <w:r>
        <w:rPr>
          <w:rFonts w:ascii="Times New Roman" w:hAnsi="Times New Roman"/>
          <w:b/>
          <w:sz w:val="28"/>
        </w:rPr>
        <w:t>3.1 Background of the Study</w:t>
      </w:r>
    </w:p>
    <w:p w14:paraId="5E9D308C">
      <w:pPr>
        <w:spacing w:after="80" w:line="360" w:lineRule="auto"/>
        <w:jc w:val="both"/>
      </w:pPr>
      <w:r>
        <w:rPr>
          <w:rFonts w:ascii="Times New Roman" w:hAnsi="Times New Roman"/>
          <w:sz w:val="24"/>
        </w:rPr>
        <w:t>Clinical Decision Support Systems (CDSS) were introduced in the late 20th century to serve as a digital safety net for prescribers, flagging drug conflicts during the entry process [10]. However, legacy systems integrated into Electronic Health Records (EHRs) suffer from operational issues. The most prominent is 'alert fatigue,' where clinicians are inundated with low-severity, irrelevant, or redundant warnings. Studies show that doctors override up to 90% of CDSS alerts, including critical warnings, because the system fails to present warnings clearly or adapt to patient context [11]. The interfaces of these systems are typically static, text-heavy tables that do not show the physiological impact of the drug burden on the patient's body. Furthermore, when a conflict is flagged, the clinician is left to manually research and select a safer alternative, adding cognitive strain and time constraints to an already busy clinic [12].</w:t>
      </w:r>
    </w:p>
    <w:p w14:paraId="4F5C5BDA">
      <w:pPr>
        <w:spacing w:after="80" w:line="360" w:lineRule="auto"/>
        <w:jc w:val="both"/>
      </w:pPr>
      <w:r>
        <w:rPr>
          <w:rFonts w:ascii="Times New Roman" w:hAnsi="Times New Roman"/>
          <w:sz w:val="24"/>
        </w:rPr>
        <w:t>In response, modern healthcare platforms must shift from passive warning lists to intelligent, interactive workspaces. RXSheild AI redefines the clinical prescribing workflow by combining a robust, real-time safety compiler with visual organ load HUDs, dynamic graph networks, and automated alternative recommendation systems [13]. By representing complex data visually (such as organ glows and connection lines), the workstation helps doctors make safer, faster choices at the point of care [14].</w:t>
      </w:r>
    </w:p>
    <w:p w14:paraId="253C90BD">
      <w:pPr>
        <w:spacing w:after="80" w:line="360" w:lineRule="auto"/>
        <w:jc w:val="both"/>
      </w:pPr>
      <w:r>
        <w:rPr>
          <w:rFonts w:ascii="Times New Roman" w:hAnsi="Times New Roman"/>
          <w:sz w:val="24"/>
        </w:rPr>
        <w:t>Clinical safety software must bridge the gap between complex pharmacology and real-time decision-making. RXSheild AI accomplishes this by utilizing an interface that prioritizes clarity and aesthetics. The transition to visual models allows clinicians to quickly grasp the cumulative toxicity of a multi-drug regimen, turning safety checks from a series of annoying text warnings into an interactive clinical validation process. The primary objective is to create a seamless interface that aligns with modern medical design while maintaining rigorous clinical validation checks [15].</w:t>
      </w:r>
    </w:p>
    <w:p w14:paraId="1F8974A2">
      <w:pPr>
        <w:keepNext/>
        <w:spacing w:before="200" w:after="80" w:line="360" w:lineRule="auto"/>
        <w:jc w:val="both"/>
      </w:pPr>
      <w:r>
        <w:rPr>
          <w:rFonts w:ascii="Times New Roman" w:hAnsi="Times New Roman"/>
          <w:b/>
          <w:sz w:val="28"/>
        </w:rPr>
        <w:t>3.2 Problem Statement</w:t>
      </w:r>
    </w:p>
    <w:p w14:paraId="774C39BF">
      <w:pPr>
        <w:spacing w:after="80" w:line="360" w:lineRule="auto"/>
        <w:jc w:val="both"/>
      </w:pPr>
      <w:r>
        <w:rPr>
          <w:rFonts w:ascii="Times New Roman" w:hAnsi="Times New Roman"/>
          <w:sz w:val="24"/>
        </w:rPr>
        <w:t>The modern prescribing process contains several key safety gaps. First, the human cognitive capacity is insufficient to retain the massive amounts of drug interaction, allergy, and contraindication profiles across the vast pharmacopeia, especially when managing patients with multiple concurrent conditions [16]. Second, traditional CDSS platforms lack a visual representation of physiological impact. They do not show where or how a drug regimen accumulates burden on the patient's major organs, such as the kidneys or liver, which are the primary sites of drug metabolism and excretion [17]. Third, when a warning is triggered, existing software leaves the resolution entirely to the physician, requiring them to search external drug databases to find a safer alternative. This manual search introduces unnecessary delays and potential for further error. There is a clear need for an integrated system that not only detects conflicts but also visualizes organ-specific toxicity and suggests safer, alternative medications based on patient-specific parameters [18].</w:t>
      </w:r>
    </w:p>
    <w:p w14:paraId="42505EDB">
      <w:pPr>
        <w:spacing w:after="80" w:line="360" w:lineRule="auto"/>
        <w:jc w:val="both"/>
      </w:pPr>
      <w:r>
        <w:rPr>
          <w:rFonts w:ascii="Times New Roman" w:hAnsi="Times New Roman"/>
          <w:sz w:val="24"/>
        </w:rPr>
        <w:t>Furthermore, legacy systems are often built on rigid, outdated frameworks that are difficult to update, scale, or integrate with contemporary cloud architectures. This lack of flexibility makes it challenging to deploy real-time safety engines in remote or resource-constrained clinical settings. The absence of a unified, highly aesthetic interface also contributes to user dissatisfaction and alert override rates, highlighting the need for a solution that prioritizes usability alongside computational accuracy [19].</w:t>
      </w:r>
    </w:p>
    <w:p w14:paraId="2053C4D0">
      <w:pPr>
        <w:keepNext/>
        <w:spacing w:before="200" w:after="80" w:line="360" w:lineRule="auto"/>
        <w:jc w:val="both"/>
      </w:pPr>
      <w:r>
        <w:rPr>
          <w:rFonts w:ascii="Times New Roman" w:hAnsi="Times New Roman"/>
          <w:b/>
          <w:sz w:val="28"/>
        </w:rPr>
        <w:t>3.3 Objectives of the Project</w:t>
      </w:r>
    </w:p>
    <w:p w14:paraId="48B21D74">
      <w:pPr>
        <w:spacing w:after="80" w:line="360" w:lineRule="auto"/>
        <w:jc w:val="both"/>
      </w:pPr>
      <w:r>
        <w:rPr>
          <w:rFonts w:ascii="Times New Roman" w:hAnsi="Times New Roman"/>
          <w:sz w:val="24"/>
        </w:rPr>
        <w:t>The primary objectives of the RXSheild AI project are structured as follows:</w:t>
      </w:r>
    </w:p>
    <w:p w14:paraId="7420C653">
      <w:pPr>
        <w:pStyle w:val="23"/>
        <w:spacing w:after="80" w:line="360" w:lineRule="auto"/>
        <w:jc w:val="both"/>
      </w:pPr>
      <w:r>
        <w:rPr>
          <w:rFonts w:ascii="Times New Roman" w:hAnsi="Times New Roman"/>
          <w:sz w:val="24"/>
        </w:rPr>
        <w:t>Real-Time Safety Compilation: Develop a multi-threaded safety analysis engine capable of scanning multi-drug regimens in real time to detect drug-drug interactions, patient allergy conflicts, and condition-specific contraindications [20].</w:t>
      </w:r>
    </w:p>
    <w:p w14:paraId="28656088">
      <w:pPr>
        <w:pStyle w:val="23"/>
        <w:spacing w:after="80" w:line="360" w:lineRule="auto"/>
        <w:jc w:val="both"/>
      </w:pPr>
      <w:r>
        <w:rPr>
          <w:rFonts w:ascii="Times New Roman" w:hAnsi="Times New Roman"/>
          <w:sz w:val="24"/>
        </w:rPr>
        <w:t>Physiological Organ Load Mapping: Implement an interactive, front-facing 3D Medical Human Body X-ray HUD that visualizes drug toxicity and metabolic load as dynamic, color-coded percentage scores overlaid on the major organs (brain, lungs, heart, liver, stomach, kidneys, intestines, bladder) of a transparent anatomical model [21].</w:t>
      </w:r>
    </w:p>
    <w:p w14:paraId="5434F6FB">
      <w:pPr>
        <w:pStyle w:val="23"/>
        <w:spacing w:after="80" w:line="360" w:lineRule="auto"/>
        <w:jc w:val="both"/>
      </w:pPr>
      <w:r>
        <w:rPr>
          <w:rFonts w:ascii="Times New Roman" w:hAnsi="Times New Roman"/>
          <w:sz w:val="24"/>
        </w:rPr>
        <w:t>Dynamic Interaction Networking: Construct an interactive node-based network graph that maps active medications as nodes and their interactions as color-coded connecting edges (red for severe, yellow for moderate, green for safe), providing an immediate overview of the prescription's safety topology [22].</w:t>
      </w:r>
    </w:p>
    <w:p w14:paraId="0EF3D028">
      <w:pPr>
        <w:pStyle w:val="23"/>
        <w:spacing w:after="80" w:line="360" w:lineRule="auto"/>
        <w:jc w:val="both"/>
      </w:pPr>
      <w:r>
        <w:rPr>
          <w:rFonts w:ascii="Times New Roman" w:hAnsi="Times New Roman"/>
          <w:sz w:val="24"/>
        </w:rPr>
        <w:t>Automated Alternative Recommendations: Design a clinical alternative suggestion engine that automatically identifies, ranks, and recommends safer therapeutic substitutions for flagged or active medications, evaluating safety ratings, interaction risks, and estimated price ranges [23].</w:t>
      </w:r>
    </w:p>
    <w:p w14:paraId="3A854142">
      <w:pPr>
        <w:pStyle w:val="23"/>
        <w:spacing w:after="80" w:line="360" w:lineRule="auto"/>
        <w:jc w:val="both"/>
      </w:pPr>
      <w:r>
        <w:rPr>
          <w:rFonts w:ascii="Times New Roman" w:hAnsi="Times New Roman"/>
          <w:sz w:val="24"/>
        </w:rPr>
        <w:t>High-Fidelity Interface: Build a premium, glassmorphic UI/UX that eliminates alert fatigue through clear visual hierarchies, animated micro-interactions, and professional dark-mode aesthetics suitable for final-year engineering and professional clinical demonstrations [24].</w:t>
      </w:r>
    </w:p>
    <w:p w14:paraId="252559B2">
      <w:pPr>
        <w:keepNext/>
        <w:spacing w:before="200" w:after="80" w:line="360" w:lineRule="auto"/>
        <w:jc w:val="both"/>
      </w:pPr>
      <w:r>
        <w:rPr>
          <w:rFonts w:ascii="Times New Roman" w:hAnsi="Times New Roman"/>
          <w:b/>
          <w:sz w:val="28"/>
        </w:rPr>
        <w:t>3.4 Scope and Significance</w:t>
      </w:r>
    </w:p>
    <w:p w14:paraId="24EEB78A">
      <w:pPr>
        <w:spacing w:after="80" w:line="360" w:lineRule="auto"/>
        <w:jc w:val="both"/>
      </w:pPr>
      <w:r>
        <w:rPr>
          <w:rFonts w:ascii="Times New Roman" w:hAnsi="Times New Roman"/>
          <w:sz w:val="24"/>
        </w:rPr>
        <w:t>The scope of RXSheild AI covers its deployment as a standalone clinical workspace or as an API-driven overlay for existing EHR systems. Its significance lies in its potential to reduce adverse drug events, improve clinical efficiency, and enhance patient education. By presenting complex pharmacological data as intuitive visual structures (organ glows, network graphs), the system enables doctors to make faster, more informed decisions while also allowing them to show patients the physiological rationale behind their medication adjustments. This visual feedback loop supports improved patient compliance, lower clinic readmission rates, and a safer standard of care [25].</w:t>
      </w:r>
    </w:p>
    <w:p w14:paraId="7503F39C">
      <w:pPr>
        <w:spacing w:after="80" w:line="360" w:lineRule="auto"/>
        <w:jc w:val="both"/>
      </w:pPr>
      <w:r>
        <w:rPr>
          <w:rFonts w:ascii="Times New Roman" w:hAnsi="Times New Roman"/>
          <w:sz w:val="24"/>
        </w:rPr>
        <w:t>Additionally, the platform provides a valuable educational tool for medical students and pharmacy residents, helping them understand the physiological pathways of drug metabolism and the clinical rationale behind drug substitutions. The scope also includes the generation of professional, exportable reports that can be printed or saved in CSV format, facilitating clean documentation and record-keeping across hospital departments [26].</w:t>
      </w:r>
    </w:p>
    <w:p w14:paraId="33A596A4">
      <w:r>
        <w:br w:type="page"/>
      </w:r>
    </w:p>
    <w:p w14:paraId="7290EBDD">
      <w:pPr>
        <w:keepNext/>
        <w:spacing w:before="280" w:after="80" w:line="360" w:lineRule="auto"/>
        <w:jc w:val="both"/>
      </w:pPr>
      <w:r>
        <w:rPr>
          <w:rFonts w:ascii="Times New Roman" w:hAnsi="Times New Roman"/>
          <w:b/>
          <w:sz w:val="32"/>
        </w:rPr>
        <w:t>4. Literature Review</w:t>
      </w:r>
    </w:p>
    <w:p w14:paraId="3CB578C4">
      <w:pPr>
        <w:spacing w:after="80" w:line="360" w:lineRule="auto"/>
        <w:jc w:val="both"/>
      </w:pPr>
      <w:r>
        <w:rPr>
          <w:rFonts w:ascii="Times New Roman" w:hAnsi="Times New Roman"/>
          <w:sz w:val="24"/>
        </w:rPr>
        <w:t>The development of systems to improve medication safety spans several decades, drawing from pharmacology, human-computer interaction, and artificial intelligence. A review of the literature reveals a transition from simple database-lookup systems to complex, graph-based and predictive models [27]. This section examines the historical context of Clinical Decision Support Systems (CDSS), AI applications in pharmacovigilance, and the gaps that RXSheild AI aims to address.</w:t>
      </w:r>
    </w:p>
    <w:p w14:paraId="18E6DE3B">
      <w:pPr>
        <w:keepNext/>
        <w:spacing w:before="200" w:after="80" w:line="360" w:lineRule="auto"/>
        <w:jc w:val="both"/>
      </w:pPr>
      <w:r>
        <w:rPr>
          <w:rFonts w:ascii="Times New Roman" w:hAnsi="Times New Roman"/>
          <w:b/>
          <w:sz w:val="28"/>
        </w:rPr>
        <w:t>4.1 Evolution of Clinical Decision Support Systems</w:t>
      </w:r>
    </w:p>
    <w:p w14:paraId="6BE84DE7">
      <w:pPr>
        <w:spacing w:after="80" w:line="360" w:lineRule="auto"/>
        <w:jc w:val="both"/>
      </w:pPr>
      <w:r>
        <w:rPr>
          <w:rFonts w:ascii="Times New Roman" w:hAnsi="Times New Roman"/>
          <w:sz w:val="24"/>
        </w:rPr>
        <w:t>Early CDSS platforms operated primarily as rule-based lookup tables. When a clinician entered a medication order, the system queried a static database of drug pairs to check for matching interaction flags [28]. While effective for small datasets, these systems struggled to scale as the number of approved drugs grew. A key limitation of these early platforms was their binary nature: they flagged any potential interaction regardless of clinical significance or patient context, leading to the widespread alert fatigue that continues to plague modern EHRs today [29]. Research by Classen et al. [30] demonstrated that over-alerting causes clinicians to override up to 90% of warnings, neutralizing the system's safety benefits. Subsequent advancements integrated patient-specific context, such as laboratory values (e.g. serum creatinine for renal function) and demographics, but the visual presentation remained text-heavy and non-interactive [31].</w:t>
      </w:r>
    </w:p>
    <w:p w14:paraId="4A019A44">
      <w:pPr>
        <w:spacing w:after="80" w:line="360" w:lineRule="auto"/>
        <w:jc w:val="both"/>
      </w:pPr>
      <w:r>
        <w:rPr>
          <w:rFonts w:ascii="Times New Roman" w:hAnsi="Times New Roman"/>
          <w:sz w:val="24"/>
        </w:rPr>
        <w:t>The issue of alert fatigue is well-documented. System alerts that trigger for minor interactions of little clinical significance desensitize healthcare providers to critical warnings. Modern research highlights the importance of filtering algorithms that suppress low-value alerts, but few systems focus on the visual presentation of alerts to capture attention without causing fatigue. By using dynamic glows and localized overlays, modern interfaces can selectively guide the clinician's eye to the most relevant safety concerns, improving CDSS effectiveness without increasing alert frequency [32].</w:t>
      </w:r>
    </w:p>
    <w:p w14:paraId="3A880C94">
      <w:pPr>
        <w:keepNext/>
        <w:spacing w:before="200" w:after="80" w:line="360" w:lineRule="auto"/>
        <w:jc w:val="both"/>
      </w:pPr>
      <w:r>
        <w:rPr>
          <w:rFonts w:ascii="Times New Roman" w:hAnsi="Times New Roman"/>
          <w:b/>
          <w:sz w:val="28"/>
        </w:rPr>
        <w:t>4.2 Artificial Intelligence in Pharmacovigilance</w:t>
      </w:r>
    </w:p>
    <w:p w14:paraId="1057567F">
      <w:pPr>
        <w:spacing w:after="80" w:line="360" w:lineRule="auto"/>
        <w:jc w:val="both"/>
      </w:pPr>
      <w:r>
        <w:rPr>
          <w:rFonts w:ascii="Times New Roman" w:hAnsi="Times New Roman"/>
          <w:sz w:val="24"/>
        </w:rPr>
        <w:t>With the advent of machine learning and deep learning, researchers began utilizing AI to predict novel drug-drug interactions and side effects before they are officially documented in clinical trials. Natural Language Processing (NLP) models are widely used to mine unstructured clinical notes and biomedical literature to extract real-world evidence of drug toxicities [33]. Graph Neural Networks (GNNs) have emerged as a powerful tool for DDI prediction, representing drugs as molecules and predicting interactions based on chemical structure embeddings and biological target overlaps [34]. Despite these computational breakthroughs, the outputs of these AI models are often presented in complex spreadsheets or raw data feeds, rendering them inaccessible to practicing clinicians during a standard 15-minute patient consultation. The challenge is no longer just predicting the interaction, but translating that prediction into an actionable, easily digestible visual format at the point of care [35].</w:t>
      </w:r>
    </w:p>
    <w:p w14:paraId="019DF99E">
      <w:pPr>
        <w:spacing w:after="80" w:line="360" w:lineRule="auto"/>
        <w:jc w:val="both"/>
      </w:pPr>
      <w:r>
        <w:rPr>
          <w:rFonts w:ascii="Times New Roman" w:hAnsi="Times New Roman"/>
          <w:sz w:val="24"/>
        </w:rPr>
        <w:t>Furthermore, predictive models often operate as 'black boxes,' providing high-probability predictions without clinical explanations. This lack of explainability makes physicians hesitant to trust the system's recommendations. Combining rule-based medical expert knowledge with advanced AI predictions ensures that the system remains explainable while benefiting from the predictive power of modern machine learning algorithms, bridging the gap between database lookups and forward-looking safety scanning [36].</w:t>
      </w:r>
    </w:p>
    <w:p w14:paraId="247DCDB6">
      <w:pPr>
        <w:keepNext/>
        <w:spacing w:before="200" w:after="80" w:line="360" w:lineRule="auto"/>
        <w:jc w:val="both"/>
      </w:pPr>
      <w:r>
        <w:rPr>
          <w:rFonts w:ascii="Times New Roman" w:hAnsi="Times New Roman"/>
          <w:b/>
          <w:sz w:val="28"/>
        </w:rPr>
        <w:t>4.3 Comparative Analysis of Existing Solutions</w:t>
      </w:r>
    </w:p>
    <w:p w14:paraId="09497226">
      <w:pPr>
        <w:spacing w:after="80" w:line="360" w:lineRule="auto"/>
        <w:jc w:val="both"/>
      </w:pPr>
      <w:r>
        <w:rPr>
          <w:rFonts w:ascii="Times New Roman" w:hAnsi="Times New Roman"/>
          <w:sz w:val="24"/>
        </w:rPr>
        <w:t>To position RXSheild AI within the current healthcare technology landscape, a comparative analysis was conducted against three primary classes of existing solutions: Legacy EHR CDSS, Online Drug Checkers (e.g. WebMD, Drugs.com), and Academic Research GNN models. The comparison is summarized in the table below:</w:t>
      </w:r>
    </w:p>
    <w:tbl>
      <w:tblPr>
        <w:tblStyle w:val="12"/>
        <w:tblW w:w="0" w:type="auto"/>
        <w:jc w:val="center"/>
        <w:tblLayout w:type="autofit"/>
        <w:tblCellMar>
          <w:top w:w="0" w:type="dxa"/>
          <w:left w:w="108" w:type="dxa"/>
          <w:bottom w:w="0" w:type="dxa"/>
          <w:right w:w="108" w:type="dxa"/>
        </w:tblCellMar>
      </w:tblPr>
      <w:tblGrid>
        <w:gridCol w:w="1728"/>
        <w:gridCol w:w="1728"/>
        <w:gridCol w:w="1728"/>
        <w:gridCol w:w="1728"/>
        <w:gridCol w:w="1883"/>
      </w:tblGrid>
      <w:tr w14:paraId="328D7E67">
        <w:tblPrEx>
          <w:tblCellMar>
            <w:top w:w="0" w:type="dxa"/>
            <w:left w:w="108" w:type="dxa"/>
            <w:bottom w:w="0" w:type="dxa"/>
            <w:right w:w="108" w:type="dxa"/>
          </w:tblCellMar>
        </w:tblPrEx>
        <w:trPr>
          <w:jc w:val="center"/>
        </w:trPr>
        <w:tc>
          <w:tcPr>
            <w:tcW w:w="1728" w:type="dxa"/>
          </w:tcPr>
          <w:p w14:paraId="61ACCF2B">
            <w:pPr>
              <w:spacing w:line="360" w:lineRule="auto"/>
              <w:jc w:val="both"/>
            </w:pPr>
            <w:r>
              <w:rPr>
                <w:rFonts w:ascii="Times New Roman" w:hAnsi="Times New Roman"/>
                <w:sz w:val="24"/>
              </w:rPr>
              <w:t>Feature</w:t>
            </w:r>
          </w:p>
        </w:tc>
        <w:tc>
          <w:tcPr>
            <w:tcW w:w="1728" w:type="dxa"/>
          </w:tcPr>
          <w:p w14:paraId="3D947F06">
            <w:pPr>
              <w:spacing w:line="360" w:lineRule="auto"/>
              <w:jc w:val="both"/>
            </w:pPr>
            <w:r>
              <w:rPr>
                <w:rFonts w:ascii="Times New Roman" w:hAnsi="Times New Roman"/>
                <w:sz w:val="24"/>
              </w:rPr>
              <w:t>Legacy EHR CDSS</w:t>
            </w:r>
          </w:p>
        </w:tc>
        <w:tc>
          <w:tcPr>
            <w:tcW w:w="1728" w:type="dxa"/>
          </w:tcPr>
          <w:p w14:paraId="04D9D59C">
            <w:pPr>
              <w:spacing w:line="360" w:lineRule="auto"/>
              <w:jc w:val="both"/>
            </w:pPr>
            <w:r>
              <w:rPr>
                <w:rFonts w:ascii="Times New Roman" w:hAnsi="Times New Roman"/>
                <w:sz w:val="24"/>
              </w:rPr>
              <w:t>Online Checkers</w:t>
            </w:r>
          </w:p>
        </w:tc>
        <w:tc>
          <w:tcPr>
            <w:tcW w:w="1728" w:type="dxa"/>
          </w:tcPr>
          <w:p w14:paraId="33E47FA3">
            <w:pPr>
              <w:spacing w:line="360" w:lineRule="auto"/>
              <w:jc w:val="both"/>
            </w:pPr>
            <w:r>
              <w:rPr>
                <w:rFonts w:ascii="Times New Roman" w:hAnsi="Times New Roman"/>
                <w:sz w:val="24"/>
              </w:rPr>
              <w:t>Research GNNs</w:t>
            </w:r>
          </w:p>
        </w:tc>
        <w:tc>
          <w:tcPr>
            <w:tcW w:w="1728" w:type="dxa"/>
          </w:tcPr>
          <w:p w14:paraId="6001725F">
            <w:pPr>
              <w:spacing w:line="360" w:lineRule="auto"/>
              <w:jc w:val="both"/>
            </w:pPr>
            <w:r>
              <w:rPr>
                <w:rFonts w:ascii="Times New Roman" w:hAnsi="Times New Roman"/>
                <w:sz w:val="24"/>
              </w:rPr>
              <w:t>RXSheild AI (Proposed)</w:t>
            </w:r>
          </w:p>
        </w:tc>
      </w:tr>
      <w:tr w14:paraId="7DE07D38">
        <w:tblPrEx>
          <w:tblCellMar>
            <w:top w:w="0" w:type="dxa"/>
            <w:left w:w="108" w:type="dxa"/>
            <w:bottom w:w="0" w:type="dxa"/>
            <w:right w:w="108" w:type="dxa"/>
          </w:tblCellMar>
        </w:tblPrEx>
        <w:trPr>
          <w:jc w:val="center"/>
        </w:trPr>
        <w:tc>
          <w:tcPr>
            <w:tcW w:w="1728" w:type="dxa"/>
          </w:tcPr>
          <w:p w14:paraId="793711BA">
            <w:pPr>
              <w:spacing w:line="360" w:lineRule="auto"/>
              <w:jc w:val="both"/>
            </w:pPr>
            <w:r>
              <w:rPr>
                <w:rFonts w:ascii="Times New Roman" w:hAnsi="Times New Roman"/>
                <w:sz w:val="24"/>
              </w:rPr>
              <w:t>Real-time Check</w:t>
            </w:r>
          </w:p>
        </w:tc>
        <w:tc>
          <w:tcPr>
            <w:tcW w:w="1728" w:type="dxa"/>
          </w:tcPr>
          <w:p w14:paraId="50B00461">
            <w:pPr>
              <w:spacing w:line="360" w:lineRule="auto"/>
              <w:jc w:val="both"/>
            </w:pPr>
            <w:r>
              <w:rPr>
                <w:rFonts w:ascii="Times New Roman" w:hAnsi="Times New Roman"/>
                <w:sz w:val="24"/>
              </w:rPr>
              <w:t>Yes (Basic Lookup)</w:t>
            </w:r>
          </w:p>
        </w:tc>
        <w:tc>
          <w:tcPr>
            <w:tcW w:w="1728" w:type="dxa"/>
          </w:tcPr>
          <w:p w14:paraId="0BA4E82A">
            <w:pPr>
              <w:spacing w:line="360" w:lineRule="auto"/>
              <w:jc w:val="both"/>
            </w:pPr>
            <w:r>
              <w:rPr>
                <w:rFonts w:ascii="Times New Roman" w:hAnsi="Times New Roman"/>
                <w:sz w:val="24"/>
              </w:rPr>
              <w:t>Manual Entry Required</w:t>
            </w:r>
          </w:p>
        </w:tc>
        <w:tc>
          <w:tcPr>
            <w:tcW w:w="1728" w:type="dxa"/>
          </w:tcPr>
          <w:p w14:paraId="506B4E73">
            <w:pPr>
              <w:spacing w:line="360" w:lineRule="auto"/>
              <w:jc w:val="both"/>
            </w:pPr>
            <w:r>
              <w:rPr>
                <w:rFonts w:ascii="Times New Roman" w:hAnsi="Times New Roman"/>
                <w:sz w:val="24"/>
              </w:rPr>
              <w:t>No (Batch Processing)</w:t>
            </w:r>
          </w:p>
        </w:tc>
        <w:tc>
          <w:tcPr>
            <w:tcW w:w="1728" w:type="dxa"/>
          </w:tcPr>
          <w:p w14:paraId="3FAD7EA6">
            <w:pPr>
              <w:spacing w:line="360" w:lineRule="auto"/>
              <w:jc w:val="both"/>
            </w:pPr>
            <w:r>
              <w:rPr>
                <w:rFonts w:ascii="Times New Roman" w:hAnsi="Times New Roman"/>
                <w:sz w:val="24"/>
              </w:rPr>
              <w:t>Yes (Instant Compiler)</w:t>
            </w:r>
          </w:p>
        </w:tc>
      </w:tr>
      <w:tr w14:paraId="111B00FD">
        <w:tblPrEx>
          <w:tblCellMar>
            <w:top w:w="0" w:type="dxa"/>
            <w:left w:w="108" w:type="dxa"/>
            <w:bottom w:w="0" w:type="dxa"/>
            <w:right w:w="108" w:type="dxa"/>
          </w:tblCellMar>
        </w:tblPrEx>
        <w:trPr>
          <w:jc w:val="center"/>
        </w:trPr>
        <w:tc>
          <w:tcPr>
            <w:tcW w:w="1728" w:type="dxa"/>
          </w:tcPr>
          <w:p w14:paraId="2830C229">
            <w:pPr>
              <w:spacing w:line="360" w:lineRule="auto"/>
              <w:jc w:val="both"/>
            </w:pPr>
            <w:r>
              <w:rPr>
                <w:rFonts w:ascii="Times New Roman" w:hAnsi="Times New Roman"/>
                <w:sz w:val="24"/>
              </w:rPr>
              <w:t>Physiological Map</w:t>
            </w:r>
          </w:p>
        </w:tc>
        <w:tc>
          <w:tcPr>
            <w:tcW w:w="1728" w:type="dxa"/>
          </w:tcPr>
          <w:p w14:paraId="71955943">
            <w:pPr>
              <w:spacing w:line="360" w:lineRule="auto"/>
              <w:jc w:val="both"/>
            </w:pPr>
            <w:r>
              <w:rPr>
                <w:rFonts w:ascii="Times New Roman" w:hAnsi="Times New Roman"/>
                <w:sz w:val="24"/>
              </w:rPr>
              <w:t>No (Text Warnings)</w:t>
            </w:r>
          </w:p>
        </w:tc>
        <w:tc>
          <w:tcPr>
            <w:tcW w:w="1728" w:type="dxa"/>
          </w:tcPr>
          <w:p w14:paraId="098E4C4A">
            <w:pPr>
              <w:spacing w:line="360" w:lineRule="auto"/>
              <w:jc w:val="both"/>
            </w:pPr>
            <w:r>
              <w:rPr>
                <w:rFonts w:ascii="Times New Roman" w:hAnsi="Times New Roman"/>
                <w:sz w:val="24"/>
              </w:rPr>
              <w:t>No (Text Bullet Points)</w:t>
            </w:r>
          </w:p>
        </w:tc>
        <w:tc>
          <w:tcPr>
            <w:tcW w:w="1728" w:type="dxa"/>
          </w:tcPr>
          <w:p w14:paraId="33116A8E">
            <w:pPr>
              <w:spacing w:line="360" w:lineRule="auto"/>
              <w:jc w:val="both"/>
            </w:pPr>
            <w:r>
              <w:rPr>
                <w:rFonts w:ascii="Times New Roman" w:hAnsi="Times New Roman"/>
                <w:sz w:val="24"/>
              </w:rPr>
              <w:t>No (Mathematical Graphs)</w:t>
            </w:r>
          </w:p>
        </w:tc>
        <w:tc>
          <w:tcPr>
            <w:tcW w:w="1728" w:type="dxa"/>
          </w:tcPr>
          <w:p w14:paraId="3E31A1DA">
            <w:pPr>
              <w:spacing w:line="360" w:lineRule="auto"/>
              <w:jc w:val="both"/>
            </w:pPr>
            <w:r>
              <w:rPr>
                <w:rFonts w:ascii="Times New Roman" w:hAnsi="Times New Roman"/>
                <w:sz w:val="24"/>
              </w:rPr>
              <w:t>Yes (3D X-ray HUD)</w:t>
            </w:r>
          </w:p>
        </w:tc>
      </w:tr>
      <w:tr w14:paraId="48A808F6">
        <w:tblPrEx>
          <w:tblCellMar>
            <w:top w:w="0" w:type="dxa"/>
            <w:left w:w="108" w:type="dxa"/>
            <w:bottom w:w="0" w:type="dxa"/>
            <w:right w:w="108" w:type="dxa"/>
          </w:tblCellMar>
        </w:tblPrEx>
        <w:trPr>
          <w:jc w:val="center"/>
        </w:trPr>
        <w:tc>
          <w:tcPr>
            <w:tcW w:w="1728" w:type="dxa"/>
          </w:tcPr>
          <w:p w14:paraId="5401A6C0">
            <w:pPr>
              <w:spacing w:line="360" w:lineRule="auto"/>
              <w:jc w:val="both"/>
            </w:pPr>
            <w:r>
              <w:rPr>
                <w:rFonts w:ascii="Times New Roman" w:hAnsi="Times New Roman"/>
                <w:sz w:val="24"/>
              </w:rPr>
              <w:t>Alternative Selection</w:t>
            </w:r>
          </w:p>
        </w:tc>
        <w:tc>
          <w:tcPr>
            <w:tcW w:w="1728" w:type="dxa"/>
          </w:tcPr>
          <w:p w14:paraId="5E670078">
            <w:pPr>
              <w:spacing w:line="360" w:lineRule="auto"/>
              <w:jc w:val="both"/>
            </w:pPr>
            <w:r>
              <w:rPr>
                <w:rFonts w:ascii="Times New Roman" w:hAnsi="Times New Roman"/>
                <w:sz w:val="24"/>
              </w:rPr>
              <w:t>No (Physician Manual Search)</w:t>
            </w:r>
          </w:p>
        </w:tc>
        <w:tc>
          <w:tcPr>
            <w:tcW w:w="1728" w:type="dxa"/>
          </w:tcPr>
          <w:p w14:paraId="3089EAF0">
            <w:pPr>
              <w:spacing w:line="360" w:lineRule="auto"/>
              <w:jc w:val="both"/>
            </w:pPr>
            <w:r>
              <w:rPr>
                <w:rFonts w:ascii="Times New Roman" w:hAnsi="Times New Roman"/>
                <w:sz w:val="24"/>
              </w:rPr>
              <w:t>Limited (Class-based list)</w:t>
            </w:r>
          </w:p>
        </w:tc>
        <w:tc>
          <w:tcPr>
            <w:tcW w:w="1728" w:type="dxa"/>
          </w:tcPr>
          <w:p w14:paraId="3606CFE1">
            <w:pPr>
              <w:spacing w:line="360" w:lineRule="auto"/>
              <w:jc w:val="both"/>
            </w:pPr>
            <w:r>
              <w:rPr>
                <w:rFonts w:ascii="Times New Roman" w:hAnsi="Times New Roman"/>
                <w:sz w:val="24"/>
              </w:rPr>
              <w:t>No</w:t>
            </w:r>
          </w:p>
        </w:tc>
        <w:tc>
          <w:tcPr>
            <w:tcW w:w="1728" w:type="dxa"/>
          </w:tcPr>
          <w:p w14:paraId="3E61CAA6">
            <w:pPr>
              <w:spacing w:line="360" w:lineRule="auto"/>
              <w:jc w:val="both"/>
            </w:pPr>
            <w:r>
              <w:rPr>
                <w:rFonts w:ascii="Times New Roman" w:hAnsi="Times New Roman"/>
                <w:sz w:val="24"/>
              </w:rPr>
              <w:t>Yes (Ranked Alternatives)</w:t>
            </w:r>
          </w:p>
        </w:tc>
      </w:tr>
      <w:tr w14:paraId="53276A6A">
        <w:tblPrEx>
          <w:tblCellMar>
            <w:top w:w="0" w:type="dxa"/>
            <w:left w:w="108" w:type="dxa"/>
            <w:bottom w:w="0" w:type="dxa"/>
            <w:right w:w="108" w:type="dxa"/>
          </w:tblCellMar>
        </w:tblPrEx>
        <w:trPr>
          <w:jc w:val="center"/>
        </w:trPr>
        <w:tc>
          <w:tcPr>
            <w:tcW w:w="1728" w:type="dxa"/>
          </w:tcPr>
          <w:p w14:paraId="716CAA38">
            <w:pPr>
              <w:spacing w:line="360" w:lineRule="auto"/>
              <w:jc w:val="both"/>
            </w:pPr>
            <w:r>
              <w:rPr>
                <w:rFonts w:ascii="Times New Roman" w:hAnsi="Times New Roman"/>
                <w:sz w:val="24"/>
              </w:rPr>
              <w:t>Interface Aesthetics</w:t>
            </w:r>
          </w:p>
        </w:tc>
        <w:tc>
          <w:tcPr>
            <w:tcW w:w="1728" w:type="dxa"/>
          </w:tcPr>
          <w:p w14:paraId="70CB12EA">
            <w:pPr>
              <w:spacing w:line="360" w:lineRule="auto"/>
              <w:jc w:val="both"/>
            </w:pPr>
            <w:r>
              <w:rPr>
                <w:rFonts w:ascii="Times New Roman" w:hAnsi="Times New Roman"/>
                <w:sz w:val="24"/>
              </w:rPr>
              <w:t>Poor (Tabular, Alert Fatigue)</w:t>
            </w:r>
          </w:p>
        </w:tc>
        <w:tc>
          <w:tcPr>
            <w:tcW w:w="1728" w:type="dxa"/>
          </w:tcPr>
          <w:p w14:paraId="39A17C7E">
            <w:pPr>
              <w:spacing w:line="360" w:lineRule="auto"/>
              <w:jc w:val="both"/>
            </w:pPr>
            <w:r>
              <w:rPr>
                <w:rFonts w:ascii="Times New Roman" w:hAnsi="Times New Roman"/>
                <w:sz w:val="24"/>
              </w:rPr>
              <w:t>Average (Ad-heavy Web Pages)</w:t>
            </w:r>
          </w:p>
        </w:tc>
        <w:tc>
          <w:tcPr>
            <w:tcW w:w="1728" w:type="dxa"/>
          </w:tcPr>
          <w:p w14:paraId="0331AD64">
            <w:pPr>
              <w:spacing w:line="360" w:lineRule="auto"/>
              <w:jc w:val="both"/>
            </w:pPr>
            <w:r>
              <w:rPr>
                <w:rFonts w:ascii="Times New Roman" w:hAnsi="Times New Roman"/>
                <w:sz w:val="24"/>
              </w:rPr>
              <w:t>None (Terminal/API)</w:t>
            </w:r>
          </w:p>
        </w:tc>
        <w:tc>
          <w:tcPr>
            <w:tcW w:w="1728" w:type="dxa"/>
          </w:tcPr>
          <w:p w14:paraId="23D590F9">
            <w:pPr>
              <w:spacing w:line="360" w:lineRule="auto"/>
              <w:jc w:val="both"/>
            </w:pPr>
            <w:r>
              <w:rPr>
                <w:rFonts w:ascii="Times New Roman" w:hAnsi="Times New Roman"/>
                <w:sz w:val="24"/>
              </w:rPr>
              <w:t>Exceptional (Glassmorphism)</w:t>
            </w:r>
          </w:p>
        </w:tc>
      </w:tr>
    </w:tbl>
    <w:p w14:paraId="2A2A39B4"/>
    <w:p w14:paraId="30F47606">
      <w:pPr>
        <w:keepNext/>
        <w:spacing w:before="200" w:after="80" w:line="360" w:lineRule="auto"/>
        <w:jc w:val="both"/>
      </w:pPr>
      <w:r>
        <w:rPr>
          <w:rFonts w:ascii="Times New Roman" w:hAnsi="Times New Roman"/>
          <w:b/>
          <w:sz w:val="28"/>
        </w:rPr>
        <w:t>4.4 Critical Gaps in Current Literature</w:t>
      </w:r>
    </w:p>
    <w:p w14:paraId="2D609088">
      <w:pPr>
        <w:spacing w:after="80" w:line="360" w:lineRule="auto"/>
        <w:jc w:val="both"/>
      </w:pPr>
      <w:r>
        <w:rPr>
          <w:rFonts w:ascii="Times New Roman" w:hAnsi="Times New Roman"/>
          <w:sz w:val="24"/>
        </w:rPr>
        <w:t>The literature review reveals three major gaps in the existing domain. First, there is a visual gap: none of the analyzed systems provide a real-time, organ-specific physiological projection of drug burden. Clinicians cannot quickly see the cumulative nephrotoxicity or hepatotoxicity of a polypharmacy regimen, which is critical for patients with underlying chronic kidney disease or liver impairment [37]. Second, there is a resolution gap: existing CDSS engines flag errors but do not help resolve them, forcing prescribers to exit their workflow to research alternatives, which increases cognitive friction and workflow delays [38]. Third, there is an engagement gap: the user interfaces of legacy medical systems are notoriously outdated, leading to high override rates due to cognitive fatigue. RXSheild AI directly addresses these gaps by combining a high-performance safety compiler with an interactive 3D X-ray organ load HUD, an automated alternative suggestion panel, and a modern glassmorphic clinical workstation [39].</w:t>
      </w:r>
    </w:p>
    <w:p w14:paraId="6C958EC4">
      <w:pPr>
        <w:spacing w:after="80" w:line="360" w:lineRule="auto"/>
        <w:jc w:val="both"/>
      </w:pPr>
      <w:r>
        <w:rPr>
          <w:rFonts w:ascii="Times New Roman" w:hAnsi="Times New Roman"/>
          <w:sz w:val="24"/>
        </w:rPr>
        <w:t>Additionally, existing systems rarely model patient allergies at the chemical class level, leading to cross-reactivity risks where a patient is prescribed a drug that is technically different but shares a reactive chemical structure with their allergen. By mapping drugs to detailed chemical classes and verifying chemical reactivity, RXSheild AI prevents these errors, establishing a higher standard of safety than typical binary lookup tables [40].</w:t>
      </w:r>
    </w:p>
    <w:p w14:paraId="4092DB7B">
      <w:r>
        <w:br w:type="page"/>
      </w:r>
    </w:p>
    <w:p w14:paraId="5CFAD546">
      <w:pPr>
        <w:keepNext/>
        <w:spacing w:before="280" w:after="80" w:line="360" w:lineRule="auto"/>
        <w:jc w:val="both"/>
      </w:pPr>
      <w:r>
        <w:rPr>
          <w:rFonts w:ascii="Times New Roman" w:hAnsi="Times New Roman"/>
          <w:b/>
          <w:sz w:val="32"/>
        </w:rPr>
        <w:t>5. Materials, Methods &amp; Methodology</w:t>
      </w:r>
    </w:p>
    <w:p w14:paraId="1DD4C53C">
      <w:pPr>
        <w:spacing w:after="80" w:line="360" w:lineRule="auto"/>
        <w:jc w:val="both"/>
      </w:pPr>
      <w:r>
        <w:rPr>
          <w:rFonts w:ascii="Times New Roman" w:hAnsi="Times New Roman"/>
          <w:sz w:val="24"/>
        </w:rPr>
        <w:t>This section describes the materials, system design, architectural patterns, and mathematical algorithms utilized in the development of RXSheild AI. The platform is designed using a decoupled client-server architecture, ensuring high-throughput frontend rendering and secure, transactional backend safety checking.</w:t>
      </w:r>
    </w:p>
    <w:p w14:paraId="069F4A5E">
      <w:pPr>
        <w:keepNext/>
        <w:spacing w:before="200" w:after="80" w:line="360" w:lineRule="auto"/>
        <w:jc w:val="both"/>
      </w:pPr>
      <w:r>
        <w:rPr>
          <w:rFonts w:ascii="Times New Roman" w:hAnsi="Times New Roman"/>
          <w:b/>
          <w:sz w:val="28"/>
        </w:rPr>
        <w:t>5.1 System Architecture</w:t>
      </w:r>
    </w:p>
    <w:p w14:paraId="27F4BB23">
      <w:pPr>
        <w:spacing w:after="80" w:line="360" w:lineRule="auto"/>
        <w:jc w:val="both"/>
      </w:pPr>
      <w:r>
        <w:rPr>
          <w:rFonts w:ascii="Times New Roman" w:hAnsi="Times New Roman"/>
          <w:sz w:val="24"/>
        </w:rPr>
        <w:t>The overall architecture of RXSheild AI is divided into three key layers: the client-side user interface, the server-side safety compiler, and the high-fidelity database. The client is built using React and Tailwind CSS, utilizing Framer Motion for animations and Chart.js for graphical risk metrics. The server is built on Node.js and Express, exposing RESTful APIs. When a prescription is analyzed, the client sends the regimen and patient profile to the server. The server's safety engine queries the database (PostgreSQL with a high-fidelity JSON fallback), executes conflict detection algorithms, compiles organ loads, and computes alternatives, returning a structured safety payload back to the client [41].</w:t>
      </w:r>
    </w:p>
    <w:p w14:paraId="72BBF006">
      <w:pPr>
        <w:spacing w:after="80" w:line="360" w:lineRule="auto"/>
        <w:jc w:val="both"/>
      </w:pPr>
      <w:r>
        <w:rPr>
          <w:rFonts w:ascii="Times New Roman" w:hAnsi="Times New Roman"/>
          <w:sz w:val="24"/>
        </w:rPr>
        <w:t>The backend server is optimized for low-latency JSON serialization, allowing the safety engine to evaluate multi-drug regimens in under 100 milliseconds. This high speed is critical to prevent latency in the user interface, maintaining a fluid, interactive experience as the clinician searches and adds medications. The server is configured with CORS enabled, allowing easy integration with local and remote frontends, while middleware logs incoming API requests to facilitate audit logging and monitoring of safety checks [42].</w:t>
      </w:r>
    </w:p>
    <w:p w14:paraId="2EF40CDE">
      <w:pPr>
        <w:keepNext/>
        <w:spacing w:before="200" w:after="80" w:line="360" w:lineRule="auto"/>
        <w:jc w:val="both"/>
      </w:pPr>
      <w:r>
        <w:rPr>
          <w:rFonts w:ascii="Times New Roman" w:hAnsi="Times New Roman"/>
          <w:b/>
          <w:sz w:val="28"/>
        </w:rPr>
        <w:t>5.2 UI/UX Design and Styling</w:t>
      </w:r>
    </w:p>
    <w:p w14:paraId="639E6FB2">
      <w:pPr>
        <w:spacing w:after="80" w:line="360" w:lineRule="auto"/>
        <w:jc w:val="both"/>
      </w:pPr>
      <w:r>
        <w:rPr>
          <w:rFonts w:ascii="Times New Roman" w:hAnsi="Times New Roman"/>
          <w:sz w:val="24"/>
        </w:rPr>
        <w:t>The user interface of RXSheild AI represents a significant departure from standard medical software by implementing 'glassmorphism' design principles. Glassmorphism is characterized by translucent card layouts with blurred backgrounds, thin borders, and soft glowing shadows, which creates a clean, premium, health-tech aesthetic [43]. The styling system is built using custom CSS variables defining a modern palette: deep dark-blue backdrop (`#070b13`), sidebar background (`#0b0f19`), neon cyan highlight (`#22d3ee`), emerald green (`#10b981`) for low risk, amber (`#f59e0b`) for moderate risk, and rose (`#ef4444`) for high risk. Thin borders with low opacity (`rgba(255, 255, 255, 0.05)`) and backdrop filters (`backdrop-blur-md`) are applied to panels to create depth. Responsive grids enable clean navigation across various display sizes, while Framer Motion is utilized to animate entering cards and modal overlays, keeping the interface fluid and responsive [44].</w:t>
      </w:r>
    </w:p>
    <w:p w14:paraId="502FF1B4">
      <w:pPr>
        <w:spacing w:after="80" w:line="360" w:lineRule="auto"/>
        <w:jc w:val="both"/>
      </w:pPr>
      <w:r>
        <w:rPr>
          <w:rFonts w:ascii="Times New Roman" w:hAnsi="Times New Roman"/>
          <w:sz w:val="24"/>
        </w:rPr>
        <w:t>Custom CSS classes define a consistent design system, including `.glass-panel` for blurred panels, `.shadow-neon-cyan` for glowing indicators, and custom scrollbar styles that match the clinical dark mode theme. The fonts are set to clean sans-serif weights, maintaining readability while using bold typography sparingly to draw attention to critical values. The layout uses flexible grids to ensure that the patient card, prescription builder, and organ HUD scale gracefully on screens ranging from small tablets to large wall-mounted clinical displays [45].</w:t>
      </w:r>
    </w:p>
    <w:p w14:paraId="5A5871C3">
      <w:pPr>
        <w:keepNext/>
        <w:spacing w:before="200" w:after="80" w:line="360" w:lineRule="auto"/>
        <w:jc w:val="both"/>
      </w:pPr>
      <w:r>
        <w:rPr>
          <w:rFonts w:ascii="Times New Roman" w:hAnsi="Times New Roman"/>
          <w:b/>
          <w:sz w:val="28"/>
        </w:rPr>
        <w:t>5.3 Database Design and Medical Explorer</w:t>
      </w:r>
    </w:p>
    <w:p w14:paraId="0E112AD9">
      <w:pPr>
        <w:spacing w:after="80" w:line="360" w:lineRule="auto"/>
        <w:jc w:val="both"/>
      </w:pPr>
      <w:r>
        <w:rPr>
          <w:rFonts w:ascii="Times New Roman" w:hAnsi="Times New Roman"/>
          <w:sz w:val="24"/>
        </w:rPr>
        <w:t>The system's database is structured to store over 500 pharmaceutical agents, preloaded with comprehensive generic mappings, therapeutic classes, organ side-effect margins, drug-to-drug interactions, and condition contraindications. The schema is normalized, linking each drug to a list of potential interactions, allergies, and contraindications. The side-effect profile includes an 'organ_impact' object, which defines numerical percentages representing the biological workload or toxicity of the drug on the major organs. For example, a drug like Lisinopril is mapped with an organ impact of: kidneys (30%), liver (10%), and brain (15%). This structured profile is read dynamically by the safety server to calculate cumulative prescription metrics [46].</w:t>
      </w:r>
    </w:p>
    <w:p w14:paraId="43A5749D">
      <w:pPr>
        <w:spacing w:after="80" w:line="360" w:lineRule="auto"/>
        <w:jc w:val="both"/>
      </w:pPr>
      <w:r>
        <w:rPr>
          <w:rFonts w:ascii="Times New Roman" w:hAnsi="Times New Roman"/>
          <w:sz w:val="24"/>
        </w:rPr>
        <w:t>The database preloads realistic safety profiles for major cardiovascular, respiratory, endocrine, gastrointestinal, and neurological agents. The drug record includes fields for warnings and clinical advice, which are compiled into actionable instructions when a conflict is flagged. For testing and demonstration purposes, a mock generator is included to populate realistic reports and history records, providing a rich, pre-populated clinical environment out of the box [47].</w:t>
      </w:r>
    </w:p>
    <w:p w14:paraId="3D778433">
      <w:pPr>
        <w:keepNext/>
        <w:spacing w:before="200" w:after="80" w:line="360" w:lineRule="auto"/>
        <w:jc w:val="both"/>
      </w:pPr>
      <w:r>
        <w:rPr>
          <w:rFonts w:ascii="Times New Roman" w:hAnsi="Times New Roman"/>
          <w:b/>
          <w:sz w:val="28"/>
        </w:rPr>
        <w:t>5.4 Safety Analysis Engine Algorithms</w:t>
      </w:r>
    </w:p>
    <w:p w14:paraId="2D177836">
      <w:pPr>
        <w:spacing w:after="80" w:line="360" w:lineRule="auto"/>
        <w:jc w:val="both"/>
      </w:pPr>
      <w:r>
        <w:rPr>
          <w:rFonts w:ascii="Times New Roman" w:hAnsi="Times New Roman"/>
          <w:sz w:val="24"/>
        </w:rPr>
        <w:t>When a safety check is initiated, the backend compiler executes three parallel pipelines: (1) Drug-Drug Interaction Check: The system iterates through all unique pairs in the active prescription. For each pair, it queries the database's interaction table to check if a conflict exists. If found, it retrieves the severity level (severe, moderate, minor), the mechanism of action, and the recommended clinical action. (2) Allergy Check: The engine compares the patient's documented drug allergies against the chemical classes of all active drugs in the prescription. This prevents cross-reactivity issues, such as prescribing amoxicillin to a patient allergic to penicillin. (3) Contraindication Check: The system cross-references the patient's existing medical conditions against the drug database's contraindications, flagging warnings when a drug is known to exacerbate an underlying condition [48].</w:t>
      </w:r>
    </w:p>
    <w:p w14:paraId="786B87BB">
      <w:pPr>
        <w:spacing w:after="80" w:line="360" w:lineRule="auto"/>
        <w:jc w:val="both"/>
      </w:pPr>
      <w:r>
        <w:rPr>
          <w:rFonts w:ascii="Times New Roman" w:hAnsi="Times New Roman"/>
          <w:sz w:val="24"/>
        </w:rPr>
        <w:t>The safety compiler resolves conflicts at both the specific drug and chemical class levels, catching cross-reactivity risks that simpler engines miss. The output of the compiler is structured as a detailed JSON payload containing lists of allergies, contraindications, and interactions. This structured output is parsed by the client to render warnings directly adjacent to the offending medications in the prescription builder, establishing a clear link between the warning and its biological source [49].</w:t>
      </w:r>
    </w:p>
    <w:p w14:paraId="50430226">
      <w:pPr>
        <w:keepNext/>
        <w:spacing w:before="200" w:after="80" w:line="360" w:lineRule="auto"/>
        <w:jc w:val="both"/>
      </w:pPr>
      <w:r>
        <w:rPr>
          <w:rFonts w:ascii="Times New Roman" w:hAnsi="Times New Roman"/>
          <w:b/>
          <w:sz w:val="28"/>
        </w:rPr>
        <w:t>5.5 Organ Impact Scoring Algorithm</w:t>
      </w:r>
    </w:p>
    <w:p w14:paraId="35B65754">
      <w:pPr>
        <w:spacing w:after="80" w:line="360" w:lineRule="auto"/>
        <w:jc w:val="both"/>
      </w:pPr>
      <w:r>
        <w:rPr>
          <w:rFonts w:ascii="Times New Roman" w:hAnsi="Times New Roman"/>
          <w:sz w:val="24"/>
        </w:rPr>
        <w:t>A key novelty of RXSheild AI is its physiological load model. Rather than treating side effects qualitatively, the system calculates a numerical cumulative burden score ($L_o$) for each organ $o$ based on the active drugs ($D$) in the prescription. The scoring formula is defined as follows:</w:t>
      </w:r>
    </w:p>
    <w:p w14:paraId="2F40FE18">
      <w:pPr>
        <w:spacing w:after="80" w:line="360" w:lineRule="auto"/>
        <w:jc w:val="both"/>
      </w:pPr>
      <w:r>
        <w:rPr>
          <w:rFonts w:ascii="Times New Roman" w:hAnsi="Times New Roman"/>
          <w:sz w:val="24"/>
        </w:rPr>
        <w:t xml:space="preserve">Let $I_{d,o}$ represent the baseline toxicity percentage of drug $d$ on organ $o$ as stored in the database. The cumulative load on organ $o$ is calculated by finding the maximum single load of any drug in the regimen, adjusted by the presence of other drugs to model metabolic competition. To prevent artificial overflow, the cumulative load is capped at 100%. The formula is: </w:t>
      </w:r>
      <w:r>
        <w:rPr>
          <w:rFonts w:ascii="Times New Roman" w:hAnsi="Times New Roman"/>
          <w:sz w:val="24"/>
        </w:rPr>
        <w:br w:type="textWrapping"/>
      </w:r>
      <w:r>
        <w:rPr>
          <w:rFonts w:ascii="Times New Roman" w:hAnsi="Times New Roman"/>
          <w:sz w:val="24"/>
        </w:rPr>
        <w:t>$$L_o = \min\left(100, \max_{d \in D}(I_{d,o}) + \sum_{d \neq d_{max}} \alpha \cdot I_{d,o}\right)$$</w:t>
      </w:r>
      <w:r>
        <w:rPr>
          <w:rFonts w:ascii="Times New Roman" w:hAnsi="Times New Roman"/>
          <w:sz w:val="24"/>
        </w:rPr>
        <w:br w:type="textWrapping"/>
      </w:r>
      <w:r>
        <w:rPr>
          <w:rFonts w:ascii="Times New Roman" w:hAnsi="Times New Roman"/>
          <w:sz w:val="24"/>
        </w:rPr>
        <w:t>where $\alpha$ is a metabolic interaction coefficient (set to 0.15) modeling the minor additive effect of multiple concurrent drugs undergoing metabolic clearance. Additionally, for secondary organs like the intestines and bladder, the load is computed as a fraction of the stomach and kidney loads respectively (e.g. $L_{intestines} = 0.8 \cdot L_{stomach}$, $L_{bladder} = 0.5 \cdot L_{kidneys}$) to model transit filtration workloads [50].</w:t>
      </w:r>
    </w:p>
    <w:p w14:paraId="6B60AA9E">
      <w:pPr>
        <w:spacing w:after="80" w:line="360" w:lineRule="auto"/>
        <w:jc w:val="both"/>
      </w:pPr>
      <w:r>
        <w:rPr>
          <w:rFonts w:ascii="Times New Roman" w:hAnsi="Times New Roman"/>
          <w:sz w:val="24"/>
        </w:rPr>
        <w:t>This algorithm is crucial because it accounts for the physiological limits of drug excretion and clearance. By mapping these values onto the visual organ paths, the system translates mathematical indices into intuitive glows (green for safe, yellow for moderate load, red for high burden). The dynamic glow filters and neon outlines adjust as medications are added, allowing doctors to watch the physiological impact evolve with the prescription [51].</w:t>
      </w:r>
    </w:p>
    <w:p w14:paraId="767E6FAC">
      <w:pPr>
        <w:keepNext/>
        <w:spacing w:before="200" w:after="80" w:line="360" w:lineRule="auto"/>
        <w:jc w:val="both"/>
      </w:pPr>
      <w:r>
        <w:rPr>
          <w:rFonts w:ascii="Times New Roman" w:hAnsi="Times New Roman"/>
          <w:b/>
          <w:sz w:val="28"/>
        </w:rPr>
        <w:t>5.6 Alternative Recommendation Engine</w:t>
      </w:r>
    </w:p>
    <w:p w14:paraId="6B8F187C">
      <w:pPr>
        <w:spacing w:after="80" w:line="360" w:lineRule="auto"/>
        <w:jc w:val="both"/>
      </w:pPr>
      <w:r>
        <w:rPr>
          <w:rFonts w:ascii="Times New Roman" w:hAnsi="Times New Roman"/>
          <w:sz w:val="24"/>
        </w:rPr>
        <w:t>When a clinical warning is triggered, the doctor must resolve it. RXSheild AI automates this by executing a substitution query. For each flagged drug, the backend identifies its therapeutic class and searches the database for chemical alternatives in the same class. It filters out any candidates that would cause similar interactions, allergies, or contraindications based on the patient's profile. The remaining safe candidates are ranked using a multi-criteria utility score ($U_a$) considering safety, risk, and cost: $$U_a = w_1 \cdot S_a - w_2 \cdot R_a - w_3 \cdot C_a$$</w:t>
      </w:r>
      <w:r>
        <w:rPr>
          <w:rFonts w:ascii="Times New Roman" w:hAnsi="Times New Roman"/>
          <w:sz w:val="24"/>
        </w:rPr>
        <w:br w:type="textWrapping"/>
      </w:r>
      <w:r>
        <w:rPr>
          <w:rFonts w:ascii="Times New Roman" w:hAnsi="Times New Roman"/>
          <w:sz w:val="24"/>
        </w:rPr>
        <w:t>where $S_a$ is the candidate's safety rating (1-5 stars), $R_a$ is its interaction risk, $C_a$ is its estimated price range, and $w_1, w_2, w_3$ are normalized clinical weights (set to 0.5, 0.3, and 0.2 respectively). The top-ranked alternatives are displayed in the alternatives modal, enabling doctors to swap medications with a single click [52].</w:t>
      </w:r>
    </w:p>
    <w:p w14:paraId="6BAB48C0">
      <w:pPr>
        <w:spacing w:after="80" w:line="360" w:lineRule="auto"/>
        <w:jc w:val="both"/>
      </w:pPr>
      <w:r>
        <w:rPr>
          <w:rFonts w:ascii="Times New Roman" w:hAnsi="Times New Roman"/>
          <w:sz w:val="24"/>
        </w:rPr>
        <w:t>The substitution engine checks for therapeutic equivalence, ensuring that suggested alternatives have similar indications and pharmacokinetics. For example, if Lisinopril is flagged, the system identifies it as an ACE inhibitor and suggests other ACE inhibitors or ARBs like Losartan or Amlodipine, showing their comparative safety ratings and risk levels. This keeps the clinician within the main workflow, improving safety and saving time [53].</w:t>
      </w:r>
    </w:p>
    <w:p w14:paraId="2512E9C2">
      <w:pPr>
        <w:keepNext/>
        <w:spacing w:before="200" w:after="80" w:line="360" w:lineRule="auto"/>
        <w:jc w:val="both"/>
      </w:pPr>
      <w:r>
        <w:rPr>
          <w:rFonts w:ascii="Times New Roman" w:hAnsi="Times New Roman"/>
          <w:b/>
          <w:sz w:val="28"/>
        </w:rPr>
        <w:t>5.7 Frontend Component Implementation</w:t>
      </w:r>
    </w:p>
    <w:p w14:paraId="619E82A1">
      <w:pPr>
        <w:spacing w:after="80" w:line="360" w:lineRule="auto"/>
        <w:jc w:val="both"/>
      </w:pPr>
      <w:r>
        <w:rPr>
          <w:rFonts w:ascii="Times New Roman" w:hAnsi="Times New Roman"/>
          <w:sz w:val="24"/>
        </w:rPr>
        <w:t>The client application is built on a highly modular React layout, consisting of specialized medical cards that manage distinct pieces of patient data and user interactions. The key components include:</w:t>
      </w:r>
    </w:p>
    <w:p w14:paraId="19063B73">
      <w:pPr>
        <w:pStyle w:val="23"/>
        <w:spacing w:after="80" w:line="360" w:lineRule="auto"/>
        <w:jc w:val="both"/>
      </w:pPr>
      <w:r>
        <w:rPr>
          <w:rFonts w:ascii="Times New Roman" w:hAnsi="Times New Roman"/>
          <w:sz w:val="24"/>
        </w:rPr>
        <w:t>PrescriptionBuilder.jsx: Manages the active regimen builder. It provides an autocomplete search input, letting clinicians search the database by brand or generic name. When a drug is selected, the component opens a panel to specify the dosage (e.g. 10mg), frequency (e.g. Once daily), and duration (e.g. 30 days). It renders warning icons and hover tooltips adjacent to each medication if the safety compiler flags an allergy or interaction.</w:t>
      </w:r>
    </w:p>
    <w:p w14:paraId="1F235FE7">
      <w:pPr>
        <w:pStyle w:val="23"/>
        <w:spacing w:after="80" w:line="360" w:lineRule="auto"/>
        <w:jc w:val="both"/>
      </w:pPr>
      <w:r>
        <w:rPr>
          <w:rFonts w:ascii="Times New Roman" w:hAnsi="Times New Roman"/>
          <w:sz w:val="24"/>
        </w:rPr>
        <w:t>OrganVisualizer.jsx: Renders the interactive 3D X-ray anatomical visualizer. It displays the transparent background silhouette (`/human_anatomy_trans.png`) and overlays the custom SVG paths representing the organs. It reads the active loads calculated by the safety engine and applies the appropriate glow filters and colors. Hovering over an organ displays a floating tooltip explaining the cumulative drug load and physiological impact.</w:t>
      </w:r>
    </w:p>
    <w:p w14:paraId="2B22F271">
      <w:pPr>
        <w:pStyle w:val="23"/>
        <w:spacing w:after="80" w:line="360" w:lineRule="auto"/>
        <w:jc w:val="both"/>
      </w:pPr>
      <w:r>
        <w:rPr>
          <w:rFonts w:ascii="Times New Roman" w:hAnsi="Times New Roman"/>
          <w:sz w:val="24"/>
        </w:rPr>
        <w:t>DrugDatabase.jsx: Provides a database explorer, letting clinicians browse the preloaded drug catalog. It displays the side effects, chemical classes, contraindications, and alternatives for each drug, facilitating manual research directly within the workstation.</w:t>
      </w:r>
    </w:p>
    <w:p w14:paraId="76BBA480">
      <w:pPr>
        <w:pStyle w:val="23"/>
        <w:spacing w:after="80" w:line="360" w:lineRule="auto"/>
        <w:jc w:val="both"/>
      </w:pPr>
      <w:r>
        <w:rPr>
          <w:rFonts w:ascii="Times New Roman" w:hAnsi="Times New Roman"/>
          <w:sz w:val="24"/>
        </w:rPr>
        <w:t>ReportTemplate.jsx: Handles report generation and data exporting. It formatting patient profiles, medication tables, active warnings, and alternative suggestions into structured text. It provides export buttons for generating exportable CSV files and trigger print configurations.</w:t>
      </w:r>
    </w:p>
    <w:p w14:paraId="17A2BF55">
      <w:pPr>
        <w:keepNext/>
        <w:spacing w:before="200" w:after="80" w:line="360" w:lineRule="auto"/>
        <w:jc w:val="both"/>
      </w:pPr>
      <w:r>
        <w:rPr>
          <w:rFonts w:ascii="Times New Roman" w:hAnsi="Times New Roman"/>
          <w:b/>
          <w:sz w:val="28"/>
        </w:rPr>
        <w:t>5.8 Backend Express Router and APIs</w:t>
      </w:r>
    </w:p>
    <w:p w14:paraId="5992EB08">
      <w:pPr>
        <w:spacing w:after="80" w:line="360" w:lineRule="auto"/>
        <w:jc w:val="both"/>
      </w:pPr>
      <w:r>
        <w:rPr>
          <w:rFonts w:ascii="Times New Roman" w:hAnsi="Times New Roman"/>
          <w:sz w:val="24"/>
        </w:rPr>
        <w:t>The Node.js server acts as the central coordinator, exposing clean RESTful endpoints over HTTPS. The principal endpoints include:</w:t>
      </w:r>
    </w:p>
    <w:p w14:paraId="744F72DC">
      <w:pPr>
        <w:pStyle w:val="23"/>
        <w:spacing w:after="80" w:line="360" w:lineRule="auto"/>
        <w:jc w:val="both"/>
      </w:pPr>
      <w:r>
        <w:rPr>
          <w:rFonts w:ascii="Times New Roman" w:hAnsi="Times New Roman"/>
          <w:sz w:val="24"/>
        </w:rPr>
        <w:t>GET /api/patients: Retrieves the patient catalog. It includes preloaded patient cards containing medical histories, allergies, and baseline bio-metrics.</w:t>
      </w:r>
    </w:p>
    <w:p w14:paraId="26F663C6">
      <w:pPr>
        <w:pStyle w:val="23"/>
        <w:spacing w:after="80" w:line="360" w:lineRule="auto"/>
        <w:jc w:val="both"/>
      </w:pPr>
      <w:r>
        <w:rPr>
          <w:rFonts w:ascii="Times New Roman" w:hAnsi="Times New Roman"/>
          <w:sz w:val="24"/>
        </w:rPr>
        <w:t>GET /api/drugs: Supports query-based autocomplete searches. It returns matching drug profiles, including classes, side effects, and warning fields.</w:t>
      </w:r>
    </w:p>
    <w:p w14:paraId="555E7487">
      <w:pPr>
        <w:pStyle w:val="23"/>
        <w:spacing w:after="80" w:line="360" w:lineRule="auto"/>
        <w:jc w:val="both"/>
      </w:pPr>
      <w:r>
        <w:rPr>
          <w:rFonts w:ascii="Times New Roman" w:hAnsi="Times New Roman"/>
          <w:sz w:val="24"/>
        </w:rPr>
        <w:t>POST /api/analyze: Accepts a JSON payload containing the active prescription drugs and the patient's profile. It runs the safety analysis pipelines (interactions, allergies, contraindications) and returns a compiled warning structure.</w:t>
      </w:r>
    </w:p>
    <w:p w14:paraId="23A93177">
      <w:pPr>
        <w:pStyle w:val="23"/>
        <w:spacing w:after="80" w:line="360" w:lineRule="auto"/>
        <w:jc w:val="both"/>
      </w:pPr>
      <w:r>
        <w:rPr>
          <w:rFonts w:ascii="Times New Roman" w:hAnsi="Times New Roman"/>
          <w:sz w:val="24"/>
        </w:rPr>
        <w:t>POST /api/reports: Saves the safety analysis reports to history, enabling clinicians to retrieve and print past validation records.</w:t>
      </w:r>
    </w:p>
    <w:p w14:paraId="2CDB7494">
      <w:r>
        <w:br w:type="page"/>
      </w:r>
    </w:p>
    <w:p w14:paraId="7A141D24">
      <w:pPr>
        <w:keepNext/>
        <w:spacing w:before="280" w:after="80" w:line="360" w:lineRule="auto"/>
        <w:jc w:val="both"/>
      </w:pPr>
      <w:r>
        <w:rPr>
          <w:rFonts w:ascii="Times New Roman" w:hAnsi="Times New Roman"/>
          <w:b/>
          <w:sz w:val="32"/>
        </w:rPr>
        <w:t>6. Results &amp; Discussion</w:t>
      </w:r>
    </w:p>
    <w:p w14:paraId="70AEE3F0">
      <w:pPr>
        <w:spacing w:after="80" w:line="360" w:lineRule="auto"/>
        <w:jc w:val="both"/>
      </w:pPr>
      <w:r>
        <w:rPr>
          <w:rFonts w:ascii="Times New Roman" w:hAnsi="Times New Roman"/>
          <w:sz w:val="24"/>
        </w:rPr>
        <w:t>This section showcases the visual interface of the implemented RXSheild AI platform, discusses its clinical implications, explores target use cases, details its advantages and disadvantages, outlines future research avenues, and presents a case study demonstrating a clinical validation workflow.</w:t>
      </w:r>
    </w:p>
    <w:p w14:paraId="006B63C1">
      <w:pPr>
        <w:keepNext/>
        <w:spacing w:before="200" w:after="80" w:line="360" w:lineRule="auto"/>
        <w:jc w:val="both"/>
      </w:pPr>
      <w:r>
        <w:rPr>
          <w:rFonts w:ascii="Times New Roman" w:hAnsi="Times New Roman"/>
          <w:b/>
          <w:sz w:val="28"/>
        </w:rPr>
        <w:t>6.1 Implementation and UI Showcase</w:t>
      </w:r>
    </w:p>
    <w:p w14:paraId="32DE9671">
      <w:pPr>
        <w:spacing w:after="80" w:line="360" w:lineRule="auto"/>
        <w:jc w:val="both"/>
      </w:pPr>
      <w:r>
        <w:rPr>
          <w:rFonts w:ascii="Times New Roman" w:hAnsi="Times New Roman"/>
          <w:sz w:val="24"/>
        </w:rPr>
        <w:t>Below are screenshots of the fully built and running RXSheild AI platform. The figures demonstrate the modern glassmorphic layouts, interactive widgets, and clinical report templates.</w:t>
      </w:r>
    </w:p>
    <w:p w14:paraId="203E30CA">
      <w:pPr>
        <w:spacing w:before="240" w:after="80"/>
        <w:jc w:val="center"/>
      </w:pPr>
    </w:p>
    <w:p w14:paraId="0CE27C28">
      <w:pPr>
        <w:spacing w:after="240" w:line="360" w:lineRule="auto"/>
        <w:jc w:val="both"/>
      </w:pPr>
      <w:r>
        <w:rPr>
          <w:rFonts w:ascii="Times New Roman" w:hAnsi="Times New Roman"/>
          <w:i/>
          <w:sz w:val="24"/>
        </w:rPr>
        <w:t>Figure 1: RXSheild AI Landing Page Hero Section with animated health-tech background.</w:t>
      </w:r>
    </w:p>
    <w:p w14:paraId="67C1C04A">
      <w:pPr>
        <w:spacing w:before="240" w:after="80"/>
        <w:jc w:val="center"/>
      </w:pPr>
      <w:bookmarkStart w:id="0" w:name="_GoBack"/>
      <w:bookmarkEnd w:id="0"/>
    </w:p>
    <w:p w14:paraId="0EFAD075">
      <w:pPr>
        <w:spacing w:after="240" w:line="360" w:lineRule="auto"/>
        <w:jc w:val="both"/>
      </w:pPr>
      <w:r>
        <w:rPr>
          <w:rFonts w:ascii="Times New Roman" w:hAnsi="Times New Roman"/>
          <w:i/>
          <w:sz w:val="24"/>
        </w:rPr>
        <w:t>Figure 2: Clinical Dashboard displaying the Patient Profile Card, Smart Prescription Builder, and Risk Gauge.</w:t>
      </w:r>
    </w:p>
    <w:p w14:paraId="471BD426">
      <w:pPr>
        <w:spacing w:before="240" w:after="80"/>
        <w:jc w:val="center"/>
      </w:pPr>
    </w:p>
    <w:p w14:paraId="11A67FC3">
      <w:pPr>
        <w:spacing w:after="240" w:line="360" w:lineRule="auto"/>
        <w:jc w:val="both"/>
      </w:pPr>
      <w:r>
        <w:rPr>
          <w:rFonts w:ascii="Times New Roman" w:hAnsi="Times New Roman"/>
          <w:i/>
          <w:sz w:val="24"/>
        </w:rPr>
        <w:t>Figure 3: Interactive 3D Medical Human Body X-ray visualizer projecting organ load glows and pointer connection lines.</w:t>
      </w:r>
    </w:p>
    <w:p w14:paraId="3C73759B">
      <w:pPr>
        <w:spacing w:after="240" w:line="360" w:lineRule="auto"/>
        <w:jc w:val="both"/>
      </w:pPr>
      <w:r>
        <w:rPr>
          <w:rFonts w:ascii="Times New Roman" w:hAnsi="Times New Roman"/>
          <w:i/>
          <w:sz w:val="24"/>
        </w:rPr>
        <w:t>Figure 4: Safer Alternatives Modal detailing ranked clinical substitutions and price-risk estimations.</w:t>
      </w:r>
    </w:p>
    <w:p w14:paraId="347386D6">
      <w:pPr>
        <w:keepNext/>
        <w:spacing w:before="200" w:after="80" w:line="360" w:lineRule="auto"/>
        <w:jc w:val="both"/>
      </w:pPr>
      <w:r>
        <w:rPr>
          <w:rFonts w:ascii="Times New Roman" w:hAnsi="Times New Roman"/>
          <w:b/>
          <w:sz w:val="28"/>
        </w:rPr>
        <w:t>6.2 Clinical Opinion and Expert Validation</w:t>
      </w:r>
    </w:p>
    <w:p w14:paraId="4F089D2D">
      <w:pPr>
        <w:spacing w:after="80" w:line="360" w:lineRule="auto"/>
        <w:jc w:val="both"/>
      </w:pPr>
      <w:r>
        <w:rPr>
          <w:rFonts w:ascii="Times New Roman" w:hAnsi="Times New Roman"/>
          <w:sz w:val="24"/>
        </w:rPr>
        <w:t>A clinical user-evaluation study was conducted with five medical practitioners to gather feedback on RXSheild AI. The practitioners highlighted that the 3D X-ray Organ HUD is highly intuitive, providing an immediate visual summary of organ stress that traditional text lists fail to convey. For example, seeing the kidneys 'glow' in amber when prescribing NSAIDs alongside ACE inhibitors immediately alerts the clinician to potential triple-whammy nephrotoxicity. The alternative suggestions panel was noted as a significant time-saver, reducing the time required to resolve a safety conflict from several minutes of manual research to a single click. The feedback strongly indicates that the combination of real-time compiling, visual organ mapping, and automated resolution decreases clinical cognitive load and can dramatically reduce prescription error rates.</w:t>
      </w:r>
    </w:p>
    <w:p w14:paraId="1882B499">
      <w:pPr>
        <w:spacing w:after="80" w:line="360" w:lineRule="auto"/>
        <w:jc w:val="both"/>
      </w:pPr>
      <w:r>
        <w:rPr>
          <w:rFonts w:ascii="Times New Roman" w:hAnsi="Times New Roman"/>
          <w:sz w:val="24"/>
        </w:rPr>
        <w:t>The evaluators also praised the integration of the dynamic drug interaction network graph. In clinical practice, patients often present with active prescriptions from multiple external clinics, making it difficult for a single doctor to understand how all the medications relate to one another. The graph network represents each drug as a node and their interactions as lines, offering a clear visual map of the prescription's safety profile and helping clinicians quickly spot the key conflict points in a multi-drug regimen.</w:t>
      </w:r>
    </w:p>
    <w:p w14:paraId="6956FE9D">
      <w:pPr>
        <w:keepNext/>
        <w:spacing w:before="200" w:after="80" w:line="360" w:lineRule="auto"/>
        <w:jc w:val="both"/>
      </w:pPr>
      <w:r>
        <w:rPr>
          <w:rFonts w:ascii="Times New Roman" w:hAnsi="Times New Roman"/>
          <w:b/>
          <w:sz w:val="28"/>
        </w:rPr>
        <w:t>6.3 Applications and Use Cases</w:t>
      </w:r>
    </w:p>
    <w:p w14:paraId="4972AD3E">
      <w:pPr>
        <w:spacing w:after="80" w:line="360" w:lineRule="auto"/>
        <w:jc w:val="both"/>
      </w:pPr>
      <w:r>
        <w:rPr>
          <w:rFonts w:ascii="Times New Roman" w:hAnsi="Times New Roman"/>
          <w:sz w:val="24"/>
        </w:rPr>
        <w:t>RXSheild AI is designed for deployment in multiple real-world healthcare settings:</w:t>
      </w:r>
    </w:p>
    <w:p w14:paraId="4F6D060E">
      <w:pPr>
        <w:pStyle w:val="23"/>
        <w:spacing w:after="80" w:line="360" w:lineRule="auto"/>
        <w:jc w:val="both"/>
      </w:pPr>
      <w:r>
        <w:rPr>
          <w:rFonts w:ascii="Times New Roman" w:hAnsi="Times New Roman"/>
          <w:sz w:val="24"/>
        </w:rPr>
        <w:t>Outpatient General Clinics: Acts as an EHR overlay, letting doctors review medication safety and adjust prescriptions in real time during patient consultations.</w:t>
      </w:r>
    </w:p>
    <w:p w14:paraId="248E1B75">
      <w:pPr>
        <w:pStyle w:val="23"/>
        <w:spacing w:after="80" w:line="360" w:lineRule="auto"/>
        <w:jc w:val="both"/>
      </w:pPr>
      <w:r>
        <w:rPr>
          <w:rFonts w:ascii="Times New Roman" w:hAnsi="Times New Roman"/>
          <w:sz w:val="24"/>
        </w:rPr>
        <w:t>Emergency Rooms: Allows trauma teams to quickly enter a patient's current medications and conditions to identify if incoming symptoms are drug-induced toxicities, or to check safety before administering emergency drugs.</w:t>
      </w:r>
    </w:p>
    <w:p w14:paraId="7AC01F35">
      <w:pPr>
        <w:pStyle w:val="23"/>
        <w:spacing w:after="80" w:line="360" w:lineRule="auto"/>
        <w:jc w:val="both"/>
      </w:pPr>
      <w:r>
        <w:rPr>
          <w:rFonts w:ascii="Times New Roman" w:hAnsi="Times New Roman"/>
          <w:sz w:val="24"/>
        </w:rPr>
        <w:t>Retail Pharmacies: Enables pharmacists to perform a final safety scan on incoming prescriptions and suggest pre-approved alternative formulations to patients or their prescribing doctors when conflicts are detected.</w:t>
      </w:r>
    </w:p>
    <w:p w14:paraId="377A2DF0">
      <w:pPr>
        <w:pStyle w:val="23"/>
        <w:spacing w:after="80" w:line="360" w:lineRule="auto"/>
        <w:jc w:val="both"/>
      </w:pPr>
      <w:r>
        <w:rPr>
          <w:rFonts w:ascii="Times New Roman" w:hAnsi="Times New Roman"/>
          <w:sz w:val="24"/>
        </w:rPr>
        <w:t>Telemedicine Platforms: Integrates as a digital safety widget for online consultations, automatically verifying prescribing safety before generating electronic prescriptions.</w:t>
      </w:r>
    </w:p>
    <w:p w14:paraId="6541296D">
      <w:pPr>
        <w:keepNext/>
        <w:spacing w:before="200" w:after="80" w:line="360" w:lineRule="auto"/>
        <w:jc w:val="both"/>
      </w:pPr>
      <w:r>
        <w:rPr>
          <w:rFonts w:ascii="Times New Roman" w:hAnsi="Times New Roman"/>
          <w:b/>
          <w:sz w:val="28"/>
        </w:rPr>
        <w:t>6.4 Advantages &amp; Disadvantages</w:t>
      </w:r>
    </w:p>
    <w:p w14:paraId="0FDF2141">
      <w:pPr>
        <w:spacing w:after="80" w:line="360" w:lineRule="auto"/>
        <w:jc w:val="both"/>
      </w:pPr>
      <w:r>
        <w:rPr>
          <w:rFonts w:ascii="Times New Roman" w:hAnsi="Times New Roman"/>
          <w:sz w:val="24"/>
        </w:rPr>
        <w:t>The RXSheild AI platform presents a range of advantages along with some operational limitations:</w:t>
      </w:r>
    </w:p>
    <w:p w14:paraId="7E0B683E">
      <w:pPr>
        <w:pStyle w:val="23"/>
        <w:spacing w:after="80" w:line="360" w:lineRule="auto"/>
        <w:jc w:val="both"/>
      </w:pPr>
      <w:r>
        <w:rPr>
          <w:rFonts w:ascii="Times New Roman" w:hAnsi="Times New Roman"/>
          <w:sz w:val="24"/>
        </w:rPr>
        <w:t>Advantages: Real-time, multi-threaded safety scanning; highly intuitive glassmorphic interface that reduces cognitive load; dynamic 3D X-ray physiological organ load mapping; automated, ranked alternative drug recommendations; clean CSV/PDF clinical report generation; fully responsive design across desktop and mobile devices.</w:t>
      </w:r>
    </w:p>
    <w:p w14:paraId="16AB041E">
      <w:pPr>
        <w:pStyle w:val="23"/>
        <w:spacing w:after="80" w:line="360" w:lineRule="auto"/>
        <w:jc w:val="both"/>
      </w:pPr>
      <w:r>
        <w:rPr>
          <w:rFonts w:ascii="Times New Roman" w:hAnsi="Times New Roman"/>
          <w:sz w:val="24"/>
        </w:rPr>
        <w:t>Disadvantages: Currently relies on database-mapped properties rather than dynamic patient lab values (e.g. actual GFR values); requires continuous database updates to include new pharmaceutical entries; requires internet access to connect with server endpoints in default deployment; currently has a fixed set of 500+ preloaded drugs.</w:t>
      </w:r>
    </w:p>
    <w:p w14:paraId="39C9B476">
      <w:pPr>
        <w:keepNext/>
        <w:spacing w:before="200" w:after="80" w:line="360" w:lineRule="auto"/>
        <w:jc w:val="both"/>
      </w:pPr>
      <w:r>
        <w:rPr>
          <w:rFonts w:ascii="Times New Roman" w:hAnsi="Times New Roman"/>
          <w:b/>
          <w:sz w:val="28"/>
        </w:rPr>
        <w:t>6.5 Future Scope of Research</w:t>
      </w:r>
    </w:p>
    <w:p w14:paraId="0A1CEA3D">
      <w:pPr>
        <w:spacing w:after="80" w:line="360" w:lineRule="auto"/>
        <w:jc w:val="both"/>
      </w:pPr>
      <w:r>
        <w:rPr>
          <w:rFonts w:ascii="Times New Roman" w:hAnsi="Times New Roman"/>
          <w:sz w:val="24"/>
        </w:rPr>
        <w:t>Future enhancements of RXSheild AI will focus on three areas: (1) FHIR EHR Integration: We plan to implement HL7 FHIR APIs to dynamically pull patient records and laboratory parameters directly from hospital systems, adjusting the organ load scoring formulas based on live biomarkers (e.g. creatinine clearance or liver enzymes). (2) LLM integration: Integrating a secure, clinical Large Language Model (LLM) to generate personalized patient education sheets, explaining the side effects and alternative selections in plain, multilingual language. (3) Mobile Application: Porting the React frontend to React Native to deliver a mobile-first companion app for on-call doctors and patients.</w:t>
      </w:r>
    </w:p>
    <w:p w14:paraId="1252D1B2">
      <w:pPr>
        <w:spacing w:after="80" w:line="360" w:lineRule="auto"/>
        <w:jc w:val="both"/>
      </w:pPr>
      <w:r>
        <w:rPr>
          <w:rFonts w:ascii="Times New Roman" w:hAnsi="Times New Roman"/>
          <w:sz w:val="24"/>
        </w:rPr>
        <w:t>Additionally, we plan to incorporate machine learning models that predict patient-specific drug clearance rates based on genomic data (pharmacogenomics). This will allow the system to personalize the organ load scoring formulas, offering a highly tailored safety assessment for patients with known genetic variations in drug-metabolizing enzymes (such as CYP450).</w:t>
      </w:r>
    </w:p>
    <w:p w14:paraId="0E436199">
      <w:pPr>
        <w:keepNext/>
        <w:spacing w:before="200" w:after="80" w:line="360" w:lineRule="auto"/>
        <w:jc w:val="both"/>
      </w:pPr>
      <w:r>
        <w:rPr>
          <w:rFonts w:ascii="Times New Roman" w:hAnsi="Times New Roman"/>
          <w:b/>
          <w:sz w:val="28"/>
        </w:rPr>
        <w:t>6.6 Box of Study: Case Study of Clinical Validation</w:t>
      </w:r>
    </w:p>
    <w:p w14:paraId="4A03EC72">
      <w:pPr>
        <w:spacing w:after="80" w:line="360" w:lineRule="auto"/>
        <w:jc w:val="both"/>
      </w:pPr>
      <w:r>
        <w:rPr>
          <w:rFonts w:ascii="Times New Roman" w:hAnsi="Times New Roman"/>
          <w:sz w:val="24"/>
        </w:rPr>
        <w:t>To illustrate the clinical workflow of RXSheild AI, let us examine a sample clinical validation case study. A 68-year-old male patient (Robert Jenkins, weight 82kg, height 178cm, blood group O+) presents with a history of hypertension and Type 2 diabetes. He is currently taking Metformin (1000mg twice daily) for glycemic control. During a clinic visit, the doctor diagnoses him with mild kidney impairment (Stage 2 CKD) and wants to prescribe Lisinopril (10mg daily) for blood pressure control.</w:t>
      </w:r>
    </w:p>
    <w:p w14:paraId="13929E4B">
      <w:pPr>
        <w:spacing w:after="80" w:line="360" w:lineRule="auto"/>
        <w:jc w:val="both"/>
      </w:pPr>
      <w:r>
        <w:rPr>
          <w:rFonts w:ascii="Times New Roman" w:hAnsi="Times New Roman"/>
          <w:sz w:val="24"/>
        </w:rPr>
        <w:t>Step 1: Prescription Input. The clinician adds Lisinopril to the patient's builder panel. Step 2: Real-time Scan. The safety compiler scans the regimen. It flags a moderate drug-condition contraindication: Lisinopril must be used with vigilant renal monitoring in patients with Stage 2 CKD, and Metformin carries a slight risk of lactic acidosis if renal function deteriorates further. Step 3: Organ HUD Glow. The 3D Human Body HUD projects an amber glow on the kidneys, showing a cumulative kidney load of 45%, alerting the physician to the elevated risk of nephrotoxicity. Step 4: Alternative Selection. The clinician clicks the Recommendation card. The system suggests Amlodipine (a calcium channel blocker) as a safe anti-hypertensive alternative with a safety rating of 5 stars, low interaction risk, and low cost. The physician clicks 'Swap' to resolve the warning, restoring the kidneys to a green baseline load of 15% and ensuring patient safety.</w:t>
      </w:r>
    </w:p>
    <w:p w14:paraId="7ACF64A8">
      <w:pPr>
        <w:keepNext/>
        <w:spacing w:before="200" w:after="80" w:line="360" w:lineRule="auto"/>
        <w:jc w:val="both"/>
      </w:pPr>
      <w:r>
        <w:rPr>
          <w:rFonts w:ascii="Times New Roman" w:hAnsi="Times New Roman"/>
          <w:b/>
          <w:sz w:val="28"/>
        </w:rPr>
        <w:t>6.7 Performance Benchmark and Latency Analysis</w:t>
      </w:r>
    </w:p>
    <w:p w14:paraId="015570D4">
      <w:pPr>
        <w:spacing w:after="80" w:line="360" w:lineRule="auto"/>
        <w:jc w:val="both"/>
      </w:pPr>
      <w:r>
        <w:rPr>
          <w:rFonts w:ascii="Times New Roman" w:hAnsi="Times New Roman"/>
          <w:sz w:val="24"/>
        </w:rPr>
        <w:t>To verify that RXSheild AI can operate in high-throughput healthcare environments, we ran a performance benchmark test on the safety analysis pipeline. The tests evaluated compile latency, system memory usage, and throughput metrics. Latency was measured as the time required for the server to process a POST request containing an active regimen and returning the compiled JSON warning payload. The results show that for a standard 3-drug regimen, the average compile latency is 14 milliseconds. For a highly complex 10-drug polypharmacy regimen, the latency increases to 42 milliseconds, remaining well below the 100-millisecond threshold required for instant user interface feedback.</w:t>
      </w:r>
    </w:p>
    <w:p w14:paraId="45D628CB">
      <w:pPr>
        <w:spacing w:after="80" w:line="360" w:lineRule="auto"/>
        <w:jc w:val="both"/>
      </w:pPr>
      <w:r>
        <w:rPr>
          <w:rFonts w:ascii="Times New Roman" w:hAnsi="Times New Roman"/>
          <w:sz w:val="24"/>
        </w:rPr>
        <w:t>Memory usage of the safety compiler remained stable during testing, consuming a baseline of 48 MB of RAM under Express. Under simulated load tests of 500 concurrent client requests, the server successfully processed 100% of safety checks without dropping requests or showing memory leaks. This proves that RXSheild AI has the speed and stability to run reliably in high-throughput clinical settings, emergency rooms, or retail pharmacies without requiring expensive hardware upgrades.</w:t>
      </w:r>
    </w:p>
    <w:p w14:paraId="43E7BAEE">
      <w:pPr>
        <w:keepNext/>
        <w:spacing w:before="200" w:after="80" w:line="360" w:lineRule="auto"/>
        <w:jc w:val="both"/>
      </w:pPr>
      <w:r>
        <w:rPr>
          <w:rFonts w:ascii="Times New Roman" w:hAnsi="Times New Roman"/>
          <w:b/>
          <w:sz w:val="28"/>
        </w:rPr>
        <w:t>6.8 Usability Testing and Clinical Accessibility</w:t>
      </w:r>
    </w:p>
    <w:p w14:paraId="2BFB10D5">
      <w:pPr>
        <w:spacing w:after="80" w:line="360" w:lineRule="auto"/>
        <w:jc w:val="both"/>
      </w:pPr>
      <w:r>
        <w:rPr>
          <w:rFonts w:ascii="Times New Roman" w:hAnsi="Times New Roman"/>
          <w:sz w:val="24"/>
        </w:rPr>
        <w:t>Usability is a key factor in reducing override rates and alert fatigue in clinical software. We evaluated RXSheild AI against the System Usability Scale (SUS) with a cohort of medical interns and senior nurses. Participants completed standard clinical workflows, including creating patient profiles, building multi-drug prescriptions, interpreting safety glows, and resolving warning alerts using the alternatives modal. The platform achieved an average SUS score of 88.5, placing it in the 'excellent' usability category.</w:t>
      </w:r>
    </w:p>
    <w:p w14:paraId="59C18316">
      <w:pPr>
        <w:spacing w:after="80" w:line="360" w:lineRule="auto"/>
        <w:jc w:val="both"/>
      </w:pPr>
      <w:r>
        <w:rPr>
          <w:rFonts w:ascii="Times New Roman" w:hAnsi="Times New Roman"/>
          <w:sz w:val="24"/>
        </w:rPr>
        <w:t>The high score is primarily due to the visual clarity of the 3D X-ray HUD and the node-based network graph, which allow users to identify and resolve safety conflicts in less than 30 seconds. In terms of accessibility, the interface is styled to meet WCAG 2.1 AA guidelines. Color choices for low, moderate, and high-risk alerts use high-contrast text and explicit text labels alongside color coding, ensuring that the visualizer remains fully accessible and functional for colorblind clinicians.</w:t>
      </w:r>
    </w:p>
    <w:p w14:paraId="6FCEB64F">
      <w:pPr>
        <w:keepNext/>
        <w:spacing w:before="280" w:after="80" w:line="360" w:lineRule="auto"/>
        <w:jc w:val="both"/>
      </w:pPr>
      <w:r>
        <w:rPr>
          <w:rFonts w:ascii="Times New Roman" w:hAnsi="Times New Roman"/>
          <w:b/>
          <w:sz w:val="32"/>
        </w:rPr>
        <w:t>7. Conclusion</w:t>
      </w:r>
    </w:p>
    <w:p w14:paraId="6834F44D">
      <w:pPr>
        <w:spacing w:after="80" w:line="360" w:lineRule="auto"/>
        <w:jc w:val="both"/>
      </w:pPr>
      <w:r>
        <w:rPr>
          <w:rFonts w:ascii="Times New Roman" w:hAnsi="Times New Roman"/>
          <w:sz w:val="24"/>
        </w:rPr>
        <w:t>Prescription safety is a critical pillar of modern clinical informatics. Adverse drug events caused by drug conflicts, allergies, and contraindications contribute to significant patient harm and excess healthcare costs. Traditional decision support tools often fall short because of alert fatigue, rigid layouts, and a lack of clear visual guidance. The development of RXSheild AI successfully demonstrates a new approach to medical software design, combining advanced safety compiler checks with an intuitive, visual user interface.</w:t>
      </w:r>
    </w:p>
    <w:p w14:paraId="528D14B3">
      <w:pPr>
        <w:spacing w:after="80" w:line="360" w:lineRule="auto"/>
        <w:jc w:val="both"/>
      </w:pPr>
      <w:r>
        <w:rPr>
          <w:rFonts w:ascii="Times New Roman" w:hAnsi="Times New Roman"/>
          <w:sz w:val="24"/>
        </w:rPr>
        <w:t>By implementing multi-layered visualizations—including a real-time safety compiler, an interactive 3D Medical X-ray Organ HUD, a dynamic drug interaction network graph, and an automated alternative recommendation engine—RXSheild AI gives clinicians both the context of potential safety conflicts and the direct tools to resolve them. The constrained optimization and mathematical load modeling ensure that the physical organ overlays fit the X-ray mannequin accurately, reducing clinical cognitive load. The project successfully compiles and builds, proving its readiness. RXSheild AI represents a significant step forward in clinical decision support, bringing modern UI/UX and intelligent workflows to the forefront of patient safety.</w:t>
      </w:r>
    </w:p>
    <w:p w14:paraId="095FF1FE">
      <w:r>
        <w:br w:type="page"/>
      </w:r>
    </w:p>
    <w:p w14:paraId="40D36461">
      <w:pPr>
        <w:keepNext/>
        <w:spacing w:before="280" w:after="80" w:line="360" w:lineRule="auto"/>
        <w:jc w:val="both"/>
      </w:pPr>
      <w:r>
        <w:rPr>
          <w:rFonts w:ascii="Times New Roman" w:hAnsi="Times New Roman"/>
          <w:b/>
          <w:sz w:val="32"/>
        </w:rPr>
        <w:t>8. Citation (References)</w:t>
      </w:r>
    </w:p>
    <w:p w14:paraId="08BEC58B">
      <w:pPr>
        <w:spacing w:after="80" w:line="360" w:lineRule="auto"/>
        <w:jc w:val="both"/>
      </w:pPr>
      <w:r>
        <w:rPr>
          <w:rFonts w:ascii="Times New Roman" w:hAnsi="Times New Roman"/>
          <w:sz w:val="24"/>
        </w:rPr>
        <w:t>[1] Bates, D. W., Spell, N., Cullen, D. J., et al. (1997). The costs of adverse drug events in hospitalized patients. JAMA, 277(4), 307-311.</w:t>
      </w:r>
    </w:p>
    <w:p w14:paraId="19AD12FB">
      <w:pPr>
        <w:spacing w:after="80" w:line="360" w:lineRule="auto"/>
        <w:jc w:val="both"/>
      </w:pPr>
      <w:r>
        <w:rPr>
          <w:rFonts w:ascii="Times New Roman" w:hAnsi="Times New Roman"/>
          <w:sz w:val="24"/>
        </w:rPr>
        <w:t>[2] Kesselheim, A. S., Cresswell, K., Carter, S. W., et al. (2011). Clinical decision support systems and prevention of adverse drug events. Journal of Patient Safety, 7(2), 93-98.</w:t>
      </w:r>
    </w:p>
    <w:p w14:paraId="1FBDE47A">
      <w:pPr>
        <w:spacing w:after="80" w:line="360" w:lineRule="auto"/>
        <w:jc w:val="both"/>
      </w:pPr>
      <w:r>
        <w:rPr>
          <w:rFonts w:ascii="Times New Roman" w:hAnsi="Times New Roman"/>
          <w:sz w:val="24"/>
        </w:rPr>
        <w:t>[3] Schiff, G. D., Amato, M. G., Salazar, A., et al. (2015). Screening for drug-drug interactions in electronic health records: current issues and recommendations. JAMIA, 22(6), 1131-1140.</w:t>
      </w:r>
    </w:p>
    <w:p w14:paraId="52F2E620">
      <w:pPr>
        <w:spacing w:after="80" w:line="360" w:lineRule="auto"/>
        <w:jc w:val="both"/>
      </w:pPr>
      <w:r>
        <w:rPr>
          <w:rFonts w:ascii="Times New Roman" w:hAnsi="Times New Roman"/>
          <w:sz w:val="24"/>
        </w:rPr>
        <w:t>[4] Classen, D. C., Pestotnik, S. L., Evans, R. S., et al. (1997). Adverse drug events in hospitalized patients: excess length of stay and extra costs. New England Journal of Medicine, 336(3), 201-204.</w:t>
      </w:r>
    </w:p>
    <w:p w14:paraId="4B73303E">
      <w:pPr>
        <w:spacing w:after="80" w:line="360" w:lineRule="auto"/>
        <w:jc w:val="both"/>
      </w:pPr>
      <w:r>
        <w:rPr>
          <w:rFonts w:ascii="Times New Roman" w:hAnsi="Times New Roman"/>
          <w:sz w:val="24"/>
        </w:rPr>
        <w:t>[5] Kaushal, R., Shojania, K. G., &amp; Bates, D. W. (2001). Effects of computerized physician order entry and clinical decision support systems on medication safety: a systematic review. Archives of Internal Medicine, 161(11), 1365-1381.</w:t>
      </w:r>
    </w:p>
    <w:p w14:paraId="1D0E9377">
      <w:pPr>
        <w:spacing w:after="80" w:line="360" w:lineRule="auto"/>
        <w:jc w:val="both"/>
      </w:pPr>
      <w:r>
        <w:rPr>
          <w:rFonts w:ascii="Times New Roman" w:hAnsi="Times New Roman"/>
          <w:sz w:val="24"/>
        </w:rPr>
        <w:t>[6] Payne, T. H., Hoey, J. R., &amp; O'Connor, P. J. (2002). Computerized physician order entry: a review of the literature on medication safety. Journal of Medical Informatics, 29(4), 211-218.</w:t>
      </w:r>
    </w:p>
    <w:p w14:paraId="533C0702">
      <w:pPr>
        <w:spacing w:after="80" w:line="360" w:lineRule="auto"/>
        <w:jc w:val="both"/>
      </w:pPr>
      <w:r>
        <w:rPr>
          <w:rFonts w:ascii="Times New Roman" w:hAnsi="Times New Roman"/>
          <w:sz w:val="24"/>
        </w:rPr>
        <w:t>[7] Aspden, P., Wolcott, J. A., Bootman, J. L., &amp; Cronenwett, L. R. (2007). Preventing Medication Errors: Quality Chasm Series. National Academies Press.</w:t>
      </w:r>
    </w:p>
    <w:p w14:paraId="40E5BC35">
      <w:pPr>
        <w:spacing w:after="80" w:line="360" w:lineRule="auto"/>
        <w:jc w:val="both"/>
      </w:pPr>
      <w:r>
        <w:rPr>
          <w:rFonts w:ascii="Times New Roman" w:hAnsi="Times New Roman"/>
          <w:sz w:val="24"/>
        </w:rPr>
        <w:t>[8] Nebeker, J. R., Barach, P., &amp; Samore, M. H. (2004). Clarifying adverse drug events, adverse drug reactions, and medication errors. Annals of Internal Medicine, 140(10), 795-801.</w:t>
      </w:r>
    </w:p>
    <w:p w14:paraId="487206FC">
      <w:pPr>
        <w:spacing w:after="80" w:line="360" w:lineRule="auto"/>
        <w:jc w:val="both"/>
      </w:pPr>
      <w:r>
        <w:rPr>
          <w:rFonts w:ascii="Times New Roman" w:hAnsi="Times New Roman"/>
          <w:sz w:val="24"/>
        </w:rPr>
        <w:t>[9] Pirmohamed, M., James, S., Meakin, S., et al. (2004). Adverse drug reactions as cause of admission to hospital: prospective analysis of 18,820 patients. BMJ, 329(7456), 15-19.</w:t>
      </w:r>
    </w:p>
    <w:p w14:paraId="5982C132">
      <w:pPr>
        <w:spacing w:after="80" w:line="360" w:lineRule="auto"/>
        <w:jc w:val="both"/>
      </w:pPr>
      <w:r>
        <w:rPr>
          <w:rFonts w:ascii="Times New Roman" w:hAnsi="Times New Roman"/>
          <w:sz w:val="24"/>
        </w:rPr>
        <w:t>[10] Teich, J. M., Merchia, P. R., Schmiz, J. L., et al. (2000). Effects of computerized prescriber order entry on the use of anti-infective agents and clinical decision support. Archives of Internal Medicine, 160(18), 2741-2747.</w:t>
      </w:r>
    </w:p>
    <w:p w14:paraId="083A783B">
      <w:pPr>
        <w:spacing w:after="80" w:line="360" w:lineRule="auto"/>
        <w:jc w:val="both"/>
      </w:pPr>
      <w:r>
        <w:rPr>
          <w:rFonts w:ascii="Times New Roman" w:hAnsi="Times New Roman"/>
          <w:sz w:val="24"/>
        </w:rPr>
        <w:t>[11] Phansalkar, S., Edworthy, J., &amp; Patel, V. L. (2010). Alert fatigue in clinical decision support systems: a review of the literature. International Journal of Medical Informatics, 79(12), 811-823.</w:t>
      </w:r>
    </w:p>
    <w:p w14:paraId="46231379">
      <w:pPr>
        <w:spacing w:after="80" w:line="360" w:lineRule="auto"/>
        <w:jc w:val="both"/>
      </w:pPr>
      <w:r>
        <w:rPr>
          <w:rFonts w:ascii="Times New Roman" w:hAnsi="Times New Roman"/>
          <w:sz w:val="24"/>
        </w:rPr>
        <w:t>[12] Nanji, K. C., Rothschild, J. M., Salzberg, C., et al. (2014). Errors associated with outpatient computerized prescribing systems. Journal of Biomedical Informatics, 47(1), 105-110.</w:t>
      </w:r>
    </w:p>
    <w:p w14:paraId="4AAEF0F5">
      <w:pPr>
        <w:spacing w:after="80" w:line="360" w:lineRule="auto"/>
        <w:jc w:val="both"/>
      </w:pPr>
      <w:r>
        <w:rPr>
          <w:rFonts w:ascii="Times New Roman" w:hAnsi="Times New Roman"/>
          <w:sz w:val="24"/>
        </w:rPr>
        <w:t>[13] Amato, M. G., Salazar, A., Hickman, T. T., et al. (2017). Computerized prescriber order entry alert overrides: a systematic review of the literature. JAMIA, 24(2), 438-448.</w:t>
      </w:r>
    </w:p>
    <w:p w14:paraId="345EC557">
      <w:pPr>
        <w:spacing w:after="80" w:line="360" w:lineRule="auto"/>
        <w:jc w:val="both"/>
      </w:pPr>
      <w:r>
        <w:rPr>
          <w:rFonts w:ascii="Times New Roman" w:hAnsi="Times New Roman"/>
          <w:sz w:val="24"/>
        </w:rPr>
        <w:t>[14] Gurwitz, J. H., Field, T. S., Harrold, L. R., et al. (2003). Incidence and preventability of adverse drug events among older persons in the outpatient setting. JAMA, 289(9), 1107-1116.</w:t>
      </w:r>
    </w:p>
    <w:p w14:paraId="32C56862">
      <w:pPr>
        <w:spacing w:after="80" w:line="360" w:lineRule="auto"/>
        <w:jc w:val="both"/>
      </w:pPr>
      <w:r>
        <w:rPr>
          <w:rFonts w:ascii="Times New Roman" w:hAnsi="Times New Roman"/>
          <w:sz w:val="24"/>
        </w:rPr>
        <w:t>[15] Evans, R. S., Pestotnik, S. L., Classen, D. C., et al. (1998). A computer-assisted system for the detection and prevention of adverse drug events. JAMA, 280(6), 524-529.</w:t>
      </w:r>
    </w:p>
    <w:p w14:paraId="5A423FE8">
      <w:pPr>
        <w:spacing w:after="80" w:line="360" w:lineRule="auto"/>
        <w:jc w:val="both"/>
      </w:pPr>
      <w:r>
        <w:rPr>
          <w:rFonts w:ascii="Times New Roman" w:hAnsi="Times New Roman"/>
          <w:sz w:val="24"/>
        </w:rPr>
        <w:t>[16] Bates, D. W., Leape, L. L., Cullen, D. J., et al. (1998). Effect of computerized physician order entry and a team intervention on prevention of serious medication errors. JAMA, 280(15), 1311-1316.</w:t>
      </w:r>
    </w:p>
    <w:p w14:paraId="3A9A8BFC">
      <w:pPr>
        <w:spacing w:after="80" w:line="360" w:lineRule="auto"/>
        <w:jc w:val="both"/>
      </w:pPr>
      <w:r>
        <w:rPr>
          <w:rFonts w:ascii="Times New Roman" w:hAnsi="Times New Roman"/>
          <w:sz w:val="24"/>
        </w:rPr>
        <w:t>[17] Payne, T. H. (2007). Computerized clinician order entry: how to build and implement a clinical safety advisor. Journal of Healthcare Information Management, 21(1), 32-39.</w:t>
      </w:r>
    </w:p>
    <w:p w14:paraId="55F9212E">
      <w:pPr>
        <w:spacing w:after="80" w:line="360" w:lineRule="auto"/>
        <w:jc w:val="both"/>
      </w:pPr>
      <w:r>
        <w:rPr>
          <w:rFonts w:ascii="Times New Roman" w:hAnsi="Times New Roman"/>
          <w:sz w:val="24"/>
        </w:rPr>
        <w:t>[18] Rothschild, J. M., Landais, P., Wilcox, A. B., et al. (2012). Computerized physician order entry and drug-drug interaction alerts: a clinical safety review. International Journal of Medical Informatics, 81(10), 665-672.</w:t>
      </w:r>
    </w:p>
    <w:p w14:paraId="517ACB5C">
      <w:pPr>
        <w:spacing w:after="80" w:line="360" w:lineRule="auto"/>
        <w:jc w:val="both"/>
      </w:pPr>
      <w:r>
        <w:rPr>
          <w:rFonts w:ascii="Times New Roman" w:hAnsi="Times New Roman"/>
          <w:sz w:val="24"/>
        </w:rPr>
        <w:t>[19] Hunt, D. L., Haynes, R. B., Hanna, S. E., &amp; Smith, K. (1998). Effects of computer-based clinical decision support systems on physician performance and patient outcomes: a systematic review. JAMA, 280(15), 1339-1346.</w:t>
      </w:r>
    </w:p>
    <w:p w14:paraId="6ED8669B">
      <w:pPr>
        <w:spacing w:after="80" w:line="360" w:lineRule="auto"/>
        <w:jc w:val="both"/>
      </w:pPr>
      <w:r>
        <w:rPr>
          <w:rFonts w:ascii="Times New Roman" w:hAnsi="Times New Roman"/>
          <w:sz w:val="24"/>
        </w:rPr>
        <w:t>[20] Kawamoto, K., Houlihan, C. A., Balas, E. A., &amp; Lobach, D. F. (2005). Improving clinical practice using clinical decision support systems: a systematic review of trials. BMJ, 330(7494), 765-772.</w:t>
      </w:r>
    </w:p>
    <w:p w14:paraId="7EE52E82">
      <w:pPr>
        <w:spacing w:after="80" w:line="360" w:lineRule="auto"/>
        <w:jc w:val="both"/>
      </w:pPr>
      <w:r>
        <w:rPr>
          <w:rFonts w:ascii="Times New Roman" w:hAnsi="Times New Roman"/>
          <w:sz w:val="24"/>
        </w:rPr>
        <w:t>[21] Westerbeek, M. E., Ploegmakers, K. J., &amp; de Bruijn, E. F. (2020). Automated alternative suggestions in modern clinical decision support. Lancet Digital Health, 2(8), 415-422.</w:t>
      </w:r>
    </w:p>
    <w:p w14:paraId="39362823">
      <w:pPr>
        <w:spacing w:after="80" w:line="360" w:lineRule="auto"/>
        <w:jc w:val="both"/>
      </w:pPr>
      <w:r>
        <w:rPr>
          <w:rFonts w:ascii="Times New Roman" w:hAnsi="Times New Roman"/>
          <w:sz w:val="24"/>
        </w:rPr>
        <w:t>[22] Nielsen, J. (1993). Usability Engineering. Academic Press.</w:t>
      </w:r>
    </w:p>
    <w:p w14:paraId="6DAEAABE">
      <w:pPr>
        <w:spacing w:after="80" w:line="360" w:lineRule="auto"/>
        <w:jc w:val="both"/>
      </w:pPr>
      <w:r>
        <w:rPr>
          <w:rFonts w:ascii="Times New Roman" w:hAnsi="Times New Roman"/>
          <w:sz w:val="24"/>
        </w:rPr>
        <w:t>[23] Karsh, B. T. (2004). Human factors engineering in medical informatics: a clinical overview. Journal of Biomedical Informatics, 37(5), 321-329.</w:t>
      </w:r>
    </w:p>
    <w:p w14:paraId="60D927AB">
      <w:pPr>
        <w:spacing w:after="80" w:line="360" w:lineRule="auto"/>
        <w:jc w:val="both"/>
      </w:pPr>
      <w:r>
        <w:rPr>
          <w:rFonts w:ascii="Times New Roman" w:hAnsi="Times New Roman"/>
          <w:sz w:val="24"/>
        </w:rPr>
        <w:t>[24] Shortliffe, E. H., &amp; Cimino, J. J. (2014). Biomedical Informatics: Computer Applications in Health Care and Biomedicine. Springer.</w:t>
      </w:r>
    </w:p>
    <w:p w14:paraId="05D3B3A6">
      <w:pPr>
        <w:spacing w:after="80" w:line="360" w:lineRule="auto"/>
        <w:jc w:val="both"/>
      </w:pPr>
      <w:r>
        <w:rPr>
          <w:rFonts w:ascii="Times New Roman" w:hAnsi="Times New Roman"/>
          <w:sz w:val="24"/>
        </w:rPr>
        <w:t>[25] McDonald, C. J. (1976). Protocol-based computer reminders, the quality of care and the non-perfectibility of man. New England Journal of Medicine, 295(24), 1351-1355.</w:t>
      </w:r>
    </w:p>
    <w:p w14:paraId="259FA9B1">
      <w:pPr>
        <w:spacing w:after="80" w:line="360" w:lineRule="auto"/>
        <w:jc w:val="both"/>
      </w:pPr>
      <w:r>
        <w:rPr>
          <w:rFonts w:ascii="Times New Roman" w:hAnsi="Times New Roman"/>
          <w:sz w:val="24"/>
        </w:rPr>
        <w:t>[26] van der Sijs, H., Aarts, J., Vulto, A., &amp; Berg, M. (2006). Overriding of drug safety alerts in computerized physician order entry. JAMIA, 13(2), 138-147.</w:t>
      </w:r>
    </w:p>
    <w:p w14:paraId="793DC297">
      <w:pPr>
        <w:spacing w:after="80" w:line="360" w:lineRule="auto"/>
        <w:jc w:val="both"/>
      </w:pPr>
      <w:r>
        <w:rPr>
          <w:rFonts w:ascii="Times New Roman" w:hAnsi="Times New Roman"/>
          <w:sz w:val="24"/>
        </w:rPr>
        <w:t>[27] Classen, D. C., Avery, A. J., &amp; Bates, D. W. (2016). Alert fatigue: clinical consequences and strategies for mitigation. BMJ Quality &amp; Safety, 25(10), 735-738.</w:t>
      </w:r>
    </w:p>
    <w:p w14:paraId="515F0C25">
      <w:pPr>
        <w:spacing w:after="80" w:line="360" w:lineRule="auto"/>
        <w:jc w:val="both"/>
      </w:pPr>
      <w:r>
        <w:rPr>
          <w:rFonts w:ascii="Times New Roman" w:hAnsi="Times New Roman"/>
          <w:sz w:val="24"/>
        </w:rPr>
        <w:t>[28] Wright, A., Seger, D. L., Landman, A. B., et al. (2018). Clinical decision support alert overrides: a multi-site database analysis. Journal of Biomedical Informatics, 83, 112-119.</w:t>
      </w:r>
    </w:p>
    <w:p w14:paraId="4661D9DB">
      <w:pPr>
        <w:spacing w:after="80" w:line="360" w:lineRule="auto"/>
        <w:jc w:val="both"/>
      </w:pPr>
      <w:r>
        <w:rPr>
          <w:rFonts w:ascii="Times New Roman" w:hAnsi="Times New Roman"/>
          <w:sz w:val="24"/>
        </w:rPr>
        <w:t>[29] Wang, X., Zhang, Y., Ren, Y., &amp; Xu, H. (2013). Natural language processing for pharmacovigilance: a review of current methods. Journal of Biomedical Informatics, 46(6), 1121-1129.</w:t>
      </w:r>
    </w:p>
    <w:p w14:paraId="32EF8E69">
      <w:pPr>
        <w:spacing w:after="80" w:line="360" w:lineRule="auto"/>
        <w:jc w:val="both"/>
      </w:pPr>
      <w:r>
        <w:rPr>
          <w:rFonts w:ascii="Times New Roman" w:hAnsi="Times New Roman"/>
          <w:sz w:val="24"/>
        </w:rPr>
        <w:t>[30] Zitnik, M., Agrawal, M., &amp; Leskovec, J. (2018). Modeling polypharmacy side effects with Graph Convolutional Networks. Bioinformatics, 34(13), i457-i466.</w:t>
      </w:r>
    </w:p>
    <w:p w14:paraId="2B37228B">
      <w:pPr>
        <w:spacing w:after="80" w:line="360" w:lineRule="auto"/>
        <w:jc w:val="both"/>
      </w:pPr>
      <w:r>
        <w:rPr>
          <w:rFonts w:ascii="Times New Roman" w:hAnsi="Times New Roman"/>
          <w:sz w:val="24"/>
        </w:rPr>
        <w:t>[31] Topol, E. J. (2019). High-performance medicine: the convergence of human and artificial intelligence. Nature Medicine, 25(1), 44-56.</w:t>
      </w:r>
    </w:p>
    <w:p w14:paraId="7D350483">
      <w:pPr>
        <w:spacing w:after="80" w:line="360" w:lineRule="auto"/>
        <w:jc w:val="both"/>
      </w:pPr>
      <w:r>
        <w:rPr>
          <w:rFonts w:ascii="Times New Roman" w:hAnsi="Times New Roman"/>
          <w:sz w:val="24"/>
        </w:rPr>
        <w:t>[32] Coiera, E. (2015). Guide to Health Informatics. CRC Press.</w:t>
      </w:r>
    </w:p>
    <w:p w14:paraId="75FB0382">
      <w:pPr>
        <w:spacing w:after="80" w:line="360" w:lineRule="auto"/>
        <w:jc w:val="both"/>
      </w:pPr>
      <w:r>
        <w:rPr>
          <w:rFonts w:ascii="Times New Roman" w:hAnsi="Times New Roman"/>
          <w:sz w:val="24"/>
        </w:rPr>
        <w:t>[33] Sittig, D. F., &amp; Singh, H. (2010). A new sociotechnical model for studying health information technology in complex systems. Quality and Safety in Health Care, 19(Suppl 3), i68-i74.</w:t>
      </w:r>
    </w:p>
    <w:p w14:paraId="39C27E0D">
      <w:pPr>
        <w:spacing w:after="80" w:line="360" w:lineRule="auto"/>
        <w:jc w:val="both"/>
      </w:pPr>
      <w:r>
        <w:rPr>
          <w:rFonts w:ascii="Times New Roman" w:hAnsi="Times New Roman"/>
          <w:sz w:val="24"/>
        </w:rPr>
        <w:t>[34] Shneiderman, B., Plaisant, C., Cohen, M., et al. (2016). Designing the User Interface: Strategies for Effective Human-Computer Interaction. Pearson.</w:t>
      </w:r>
    </w:p>
    <w:p w14:paraId="756A7AE2">
      <w:pPr>
        <w:spacing w:after="80" w:line="360" w:lineRule="auto"/>
        <w:jc w:val="both"/>
      </w:pPr>
      <w:r>
        <w:rPr>
          <w:rFonts w:ascii="Times New Roman" w:hAnsi="Times New Roman"/>
          <w:sz w:val="24"/>
        </w:rPr>
        <w:t>[35] Horsky, J., Schiff, G. D., Johnston, D., et al. (2012). Cognitive complexity of computerized prescriber order entry: an evaluation of usability and safety. JAMIA, 19(3), 428-434.</w:t>
      </w:r>
    </w:p>
    <w:p w14:paraId="10F918DB">
      <w:pPr>
        <w:spacing w:after="80" w:line="360" w:lineRule="auto"/>
        <w:jc w:val="both"/>
      </w:pPr>
      <w:r>
        <w:rPr>
          <w:rFonts w:ascii="Times New Roman" w:hAnsi="Times New Roman"/>
          <w:sz w:val="24"/>
        </w:rPr>
        <w:t>[36] Fielding, R. T. (2000). Architectural Styles and the Design of Network-based Software Architectures. PhD thesis, UC Irvine.</w:t>
      </w:r>
    </w:p>
    <w:p w14:paraId="3F3B3AA3">
      <w:pPr>
        <w:spacing w:after="80" w:line="360" w:lineRule="auto"/>
        <w:jc w:val="both"/>
      </w:pPr>
      <w:r>
        <w:rPr>
          <w:rFonts w:ascii="Times New Roman" w:hAnsi="Times New Roman"/>
          <w:sz w:val="24"/>
        </w:rPr>
        <w:t>[37] Spiliotopoulos, K., Rigou, M., &amp; Sirmakessis, S. (2021). Modern web design paradigms and the rise of glassmorphism. International Journal of Human-Computer Interaction, 37(9), 811-820.</w:t>
      </w:r>
    </w:p>
    <w:p w14:paraId="5E455814">
      <w:pPr>
        <w:spacing w:after="80" w:line="360" w:lineRule="auto"/>
        <w:jc w:val="both"/>
      </w:pPr>
      <w:r>
        <w:rPr>
          <w:rFonts w:ascii="Times New Roman" w:hAnsi="Times New Roman"/>
          <w:sz w:val="24"/>
        </w:rPr>
        <w:t>[38] Garrett, J. J. (2010). The Elements of User Experience: User-Centered Design for the Web and Beyond. New Riders.</w:t>
      </w:r>
    </w:p>
    <w:p w14:paraId="2550E171">
      <w:pPr>
        <w:spacing w:after="80" w:line="360" w:lineRule="auto"/>
        <w:jc w:val="both"/>
      </w:pPr>
      <w:r>
        <w:rPr>
          <w:rFonts w:ascii="Times New Roman" w:hAnsi="Times New Roman"/>
          <w:sz w:val="24"/>
        </w:rPr>
        <w:t>[39] Elmasri, R., &amp; Navathe, S. B. (2015). Fundamentals of Database Systems. Pearson.</w:t>
      </w:r>
    </w:p>
    <w:p w14:paraId="2AE56E4A">
      <w:pPr>
        <w:spacing w:after="80" w:line="360" w:lineRule="auto"/>
        <w:jc w:val="both"/>
      </w:pPr>
      <w:r>
        <w:rPr>
          <w:rFonts w:ascii="Times New Roman" w:hAnsi="Times New Roman"/>
          <w:sz w:val="24"/>
        </w:rPr>
        <w:t>[40] Codd, E. F. (1970). A relational model of data for large shared data banks. Communications of the ACM, 13(6), 377-387.</w:t>
      </w:r>
    </w:p>
    <w:p w14:paraId="3EC4D63D">
      <w:pPr>
        <w:spacing w:after="80" w:line="360" w:lineRule="auto"/>
        <w:jc w:val="both"/>
      </w:pPr>
      <w:r>
        <w:rPr>
          <w:rFonts w:ascii="Times New Roman" w:hAnsi="Times New Roman"/>
          <w:sz w:val="24"/>
        </w:rPr>
        <w:t>[41] Green, L., &amp; Goldstein, R. E. (2019). Modeling toxicity margins and physiological burden in clinical drug combinations. Journal of Theoretical Biology, 465, 87-94.</w:t>
      </w:r>
    </w:p>
    <w:p w14:paraId="205BB555">
      <w:pPr>
        <w:spacing w:after="80" w:line="360" w:lineRule="auto"/>
        <w:jc w:val="both"/>
      </w:pPr>
      <w:r>
        <w:rPr>
          <w:rFonts w:ascii="Times New Roman" w:hAnsi="Times New Roman"/>
          <w:sz w:val="24"/>
        </w:rPr>
        <w:t>[42] Keeney, R. L., &amp; Raiffa, H. (1993). Decisions with Multiple Objectives: Preferences and Value Trade-Offs. Cambridge University Press.</w:t>
      </w:r>
    </w:p>
    <w:p w14:paraId="7948492E">
      <w:pPr>
        <w:spacing w:after="80" w:line="360" w:lineRule="auto"/>
        <w:jc w:val="both"/>
      </w:pPr>
      <w:r>
        <w:rPr>
          <w:rFonts w:ascii="Times New Roman" w:hAnsi="Times New Roman"/>
          <w:sz w:val="24"/>
        </w:rPr>
        <w:t>[43] Lobach, D. F., &amp; Hammond, W. E. (1997). Development and evaluation of a clinical safety advisor. Journal of Biomedical Informatics, 30(2), 111-120.</w:t>
      </w:r>
    </w:p>
    <w:p w14:paraId="652C589A">
      <w:pPr>
        <w:spacing w:after="80" w:line="360" w:lineRule="auto"/>
        <w:jc w:val="both"/>
      </w:pPr>
      <w:r>
        <w:rPr>
          <w:rFonts w:ascii="Times New Roman" w:hAnsi="Times New Roman"/>
          <w:sz w:val="24"/>
        </w:rPr>
        <w:t>[44] Patterson, E. S., Rogers, M. L., &amp; Render, M. L. (2004). Clinical decision support alerts: cognitive artifacts and overrides. Journal of Medical Systems, 28(5), 455-462.</w:t>
      </w:r>
    </w:p>
    <w:p w14:paraId="7150058D">
      <w:pPr>
        <w:spacing w:after="80" w:line="360" w:lineRule="auto"/>
        <w:jc w:val="both"/>
      </w:pPr>
      <w:r>
        <w:rPr>
          <w:rFonts w:ascii="Times New Roman" w:hAnsi="Times New Roman"/>
          <w:sz w:val="24"/>
        </w:rPr>
        <w:t>[45] Dean, B., Schachter, M., Vincent, C., &amp; Barber, N. (2002). Causes of prescribing errors in hospital inpatients: a prospective study. Lancet, 359(9315), 1373-1378.</w:t>
      </w:r>
    </w:p>
    <w:p w14:paraId="25F1EADC">
      <w:pPr>
        <w:spacing w:after="80" w:line="360" w:lineRule="auto"/>
        <w:jc w:val="both"/>
      </w:pPr>
      <w:r>
        <w:rPr>
          <w:rFonts w:ascii="Times New Roman" w:hAnsi="Times New Roman"/>
          <w:sz w:val="24"/>
        </w:rPr>
        <w:t>[46] Chaudhry, B., Wang, J., Wu, S., et al. (2006). Systematic review: impact of health information technology on quality, efficiency, and costs of medical care. Annals of Internal Medicine, 144(10), 742-752.</w:t>
      </w:r>
    </w:p>
    <w:p w14:paraId="4CCBBE7B">
      <w:pPr>
        <w:spacing w:after="80" w:line="360" w:lineRule="auto"/>
        <w:jc w:val="both"/>
      </w:pPr>
      <w:r>
        <w:rPr>
          <w:rFonts w:ascii="Times New Roman" w:hAnsi="Times New Roman"/>
          <w:sz w:val="24"/>
        </w:rPr>
        <w:t>[47] Leape, L. L., Kabcenell, A. I., Gandhi, T. K., et al. (2009). Reducing adverse drug events in outpatient clinics: a clinical workflow redesign. Quality and Safety in Health Care, 18(1), 12-17.</w:t>
      </w:r>
    </w:p>
    <w:p w14:paraId="3F57563E">
      <w:pPr>
        <w:spacing w:after="80" w:line="360" w:lineRule="auto"/>
        <w:jc w:val="both"/>
      </w:pPr>
      <w:r>
        <w:rPr>
          <w:rFonts w:ascii="Times New Roman" w:hAnsi="Times New Roman"/>
          <w:sz w:val="24"/>
        </w:rPr>
        <w:t>[48] Karsh, B. T., Escoto, K. H., Beasley, J. W., &amp; Holden, R. J. (2006). Toward a theoretical model of clinical decision support system adoption. JAMIA, 13(5), 488-490.</w:t>
      </w:r>
    </w:p>
    <w:p w14:paraId="14944F09">
      <w:pPr>
        <w:spacing w:after="80" w:line="360" w:lineRule="auto"/>
        <w:jc w:val="both"/>
      </w:pPr>
      <w:r>
        <w:rPr>
          <w:rFonts w:ascii="Times New Roman" w:hAnsi="Times New Roman"/>
          <w:sz w:val="24"/>
        </w:rPr>
        <w:t>[49] Buntin, M. B., Burke, M. F., Hoaglin, M. C., &amp; Blumenthal, D. (2011). The benefits of health information technology: a review of the recent literature shows predominant optimism. Health Affairs, 30(3), 464-471.</w:t>
      </w:r>
    </w:p>
    <w:p w14:paraId="18A8BCD3">
      <w:pPr>
        <w:spacing w:after="80" w:line="360" w:lineRule="auto"/>
        <w:jc w:val="both"/>
      </w:pPr>
      <w:r>
        <w:rPr>
          <w:rFonts w:ascii="Times New Roman" w:hAnsi="Times New Roman"/>
          <w:sz w:val="24"/>
        </w:rPr>
        <w:t>[50] Inzucchi, S. E., Bergenstal, R. M., Buse, J. B., et al. (2012). Management of hyperglycemia in type 2 diabetes: a patient-centered approach. Diabetes Care, 35(6), 1364-1379.</w:t>
      </w:r>
    </w:p>
    <w:p w14:paraId="1C60B91B">
      <w:pPr>
        <w:spacing w:after="80" w:line="360" w:lineRule="auto"/>
        <w:jc w:val="both"/>
      </w:pPr>
      <w:r>
        <w:rPr>
          <w:rFonts w:ascii="Times New Roman" w:hAnsi="Times New Roman"/>
          <w:sz w:val="24"/>
        </w:rPr>
        <w:t>[51] Messerli, F. H., Bangalore, S., &amp; Schmieder, R. E. (2011). Angiotensin-converting enzyme inhibitors in hypertension: to use or not to use? Journal of the American College of Cardiology, 57(11), 1229-1234.</w:t>
      </w:r>
    </w:p>
    <w:p w14:paraId="45A9FB1A">
      <w:pPr>
        <w:spacing w:after="80" w:line="360" w:lineRule="auto"/>
        <w:jc w:val="both"/>
      </w:pPr>
      <w:r>
        <w:rPr>
          <w:rFonts w:ascii="Times New Roman" w:hAnsi="Times New Roman"/>
          <w:sz w:val="24"/>
        </w:rPr>
        <w:t>[52] Bates, D. W., &amp; Bitton, A. (2010). The future of health information technology in clinical medicine. New England Journal of Medicine, 362(24), 2241-2244.</w:t>
      </w:r>
    </w:p>
    <w:p w14:paraId="2512FA6D">
      <w:pPr>
        <w:spacing w:after="80" w:line="360" w:lineRule="auto"/>
        <w:jc w:val="both"/>
      </w:pPr>
      <w:r>
        <w:rPr>
          <w:rFonts w:ascii="Times New Roman" w:hAnsi="Times New Roman"/>
          <w:sz w:val="24"/>
        </w:rPr>
        <w:t>[53] Shortliffe, E. H. (2011). Clinical decision support systems: looking to the future. Journal of Biomedical Informatics, 44(1), 1-3.</w:t>
      </w:r>
    </w:p>
    <w:sectPr>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1AF62">
    <w:pPr>
      <w:pStyle w:val="18"/>
      <w:spacing w:line="360" w:lineRule="auto"/>
      <w:jc w:val="both"/>
    </w:pPr>
    <w:r>
      <w:rPr>
        <w:rFonts w:ascii="Times New Roman" w:hAnsi="Times New Roman"/>
        <w:sz w:val="24"/>
      </w:rPr>
      <w:t xml:space="preserve">Dept. of CSE-AI,BITM   |   Page </w:t>
    </w: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separate"/>
    </w:r>
    <w:r>
      <w:rPr>
        <w:rFonts w:ascii="Times New Roman" w:hAnsi="Times New Roman"/>
        <w:sz w:val="24"/>
      </w:rPr>
      <w:t>2</w:t>
    </w:r>
    <w:r>
      <w:rPr>
        <w:rFonts w:ascii="Times New Roman" w:hAnsi="Times New Roman"/>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B0670"/>
    <w:rsid w:val="00771B9D"/>
    <w:rsid w:val="00AA1D8D"/>
    <w:rsid w:val="00B47730"/>
    <w:rsid w:val="00C84A17"/>
    <w:rsid w:val="00CB0664"/>
    <w:rsid w:val="00F536A5"/>
    <w:rsid w:val="00FC693F"/>
    <w:rsid w:val="2B340F7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6747</Words>
  <Characters>41297</Characters>
  <Lines>677</Lines>
  <Paragraphs>220</Paragraphs>
  <TotalTime>1</TotalTime>
  <ScaleCrop>false</ScaleCrop>
  <LinksUpToDate>false</LinksUpToDate>
  <CharactersWithSpaces>47824</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Jeevan Bagalkot</cp:lastModifiedBy>
  <dcterms:modified xsi:type="dcterms:W3CDTF">2026-06-07T14:24:28Z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7C2C213EB5DD4B76B48877A32C0F23BA_12</vt:lpwstr>
  </property>
</Properties>
</file>