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EMPLOYEE EXPENSE POLICY</w:t>
      </w:r>
    </w:p>
    <w:p>
      <w:pPr>
        <w:spacing w:after="120"/>
      </w:pPr>
      <w:r>
        <w:t>Document ID: FIN-001</w:t>
      </w:r>
    </w:p>
    <w:p>
      <w:pPr>
        <w:spacing w:after="120"/>
      </w:pPr>
      <w:r>
        <w:t>Department: Finance</w:t>
      </w:r>
    </w:p>
    <w:p>
      <w:pPr>
        <w:spacing w:after="120"/>
      </w:pPr>
      <w:r>
        <w:t>Version: 1.0</w:t>
      </w:r>
    </w:p>
    <w:p>
      <w:pPr>
        <w:spacing w:after="120"/>
      </w:pPr>
      <w:r>
        <w:t>Effective Date: 1 January 2026</w:t>
      </w:r>
    </w:p>
    <w:p>
      <w:pPr>
        <w:spacing w:after="120"/>
      </w:pPr>
      <w:r>
        <w:t>1. Purpose</w:t>
      </w:r>
    </w:p>
    <w:p>
      <w:pPr>
        <w:spacing w:after="120"/>
      </w:pPr>
      <w:r>
        <w:t>This policy defines requirements for business-related employee expenses.</w:t>
      </w:r>
    </w:p>
    <w:p>
      <w:pPr>
        <w:spacing w:after="120"/>
      </w:pPr>
      <w:r>
        <w:t>2. Scope</w:t>
      </w:r>
    </w:p>
    <w:p>
      <w:pPr>
        <w:spacing w:after="120"/>
      </w:pPr>
      <w:r>
        <w:t>This policy applies to employees who incur expenses on behalf of the organization.</w:t>
      </w:r>
    </w:p>
    <w:p>
      <w:pPr>
        <w:spacing w:after="120"/>
      </w:pPr>
      <w:r>
        <w:t>3. Business Expenses</w:t>
      </w:r>
    </w:p>
    <w:p>
      <w:pPr>
        <w:spacing w:after="120"/>
      </w:pPr>
      <w:r>
        <w:t>Employees may claim legitimate business expenses that are necessary for authorized organizational activities.</w:t>
      </w:r>
    </w:p>
    <w:p>
      <w:pPr>
        <w:spacing w:after="120"/>
      </w:pPr>
      <w:r>
        <w:t>4. Expense Submission</w:t>
      </w:r>
    </w:p>
    <w:p>
      <w:pPr>
        <w:spacing w:after="120"/>
      </w:pPr>
      <w:r>
        <w:t>Employees must submit expense claims within 30 days of incurring the expense.</w:t>
      </w:r>
    </w:p>
    <w:p>
      <w:pPr>
        <w:spacing w:after="120"/>
      </w:pPr>
      <w:r>
        <w:t>5. Supporting Documents</w:t>
      </w:r>
    </w:p>
    <w:p>
      <w:pPr>
        <w:spacing w:after="120"/>
      </w:pPr>
      <w:r>
        <w:t>Employees must provide appropriate receipts or supporting documentation for submitted expenses.</w:t>
      </w:r>
    </w:p>
    <w:p>
      <w:pPr>
        <w:spacing w:after="120"/>
      </w:pPr>
      <w:r>
        <w:t>6. Approval</w:t>
      </w:r>
    </w:p>
    <w:p>
      <w:pPr>
        <w:spacing w:after="120"/>
      </w:pPr>
      <w:r>
        <w:t>Expense claims must be reviewed and approved according to the organization's approval authority requirements.</w:t>
      </w:r>
    </w:p>
    <w:p>
      <w:pPr>
        <w:spacing w:after="120"/>
      </w:pPr>
      <w:r>
        <w:t>7. Reimbursement</w:t>
      </w:r>
    </w:p>
    <w:p>
      <w:pPr>
        <w:spacing w:after="120"/>
      </w:pPr>
      <w:r>
        <w:t>Approved expenses may be reimbursed according to the Reimbursement Policy.</w:t>
      </w:r>
    </w:p>
    <w:p>
      <w:pPr>
        <w:spacing w:after="120"/>
      </w:pPr>
      <w:r>
        <w:t>8. Responsibilities</w:t>
      </w:r>
    </w:p>
    <w:p>
      <w:pPr>
        <w:spacing w:after="120"/>
      </w:pPr>
      <w:r>
        <w:t>Employees are responsible for submitting accurate expense claims.</w:t>
      </w:r>
    </w:p>
    <w:p>
      <w:pPr>
        <w:spacing w:after="120"/>
      </w:pPr>
      <w:r>
        <w:t>Managers and Finance personnel are responsible for reviewing claims according to their assigned authority.</w:t>
      </w:r>
    </w:p>
    <w:p>
      <w:pPr>
        <w:spacing w:after="120"/>
      </w:pPr>
      <w:r>
        <w:t>9. Effective Date</w:t>
      </w:r>
    </w:p>
    <w:p>
      <w:pPr>
        <w:spacing w:after="120"/>
      </w:pPr>
      <w:r>
        <w:t>This policy is effective from 1 January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