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REIMBURSEMENT POLICY</w:t>
      </w:r>
    </w:p>
    <w:p>
      <w:pPr>
        <w:spacing w:after="120"/>
      </w:pPr>
      <w:r>
        <w:t>Document ID: FIN-002</w:t>
      </w:r>
    </w:p>
    <w:p>
      <w:pPr>
        <w:spacing w:after="120"/>
      </w:pPr>
      <w:r>
        <w:t>Department: Finance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the process for reimbursing employees for approved business expenses.</w:t>
      </w:r>
    </w:p>
    <w:p>
      <w:pPr>
        <w:spacing w:after="120"/>
      </w:pPr>
      <w:r>
        <w:t>2. Eligibility</w:t>
      </w:r>
    </w:p>
    <w:p>
      <w:pPr>
        <w:spacing w:after="120"/>
      </w:pPr>
      <w:r>
        <w:t>Employees may receive reimbursement for eligible business expenses approved according to organizational requirements.</w:t>
      </w:r>
    </w:p>
    <w:p>
      <w:pPr>
        <w:spacing w:after="120"/>
      </w:pPr>
      <w:r>
        <w:t>3. Documentation</w:t>
      </w:r>
    </w:p>
    <w:p>
      <w:pPr>
        <w:spacing w:after="120"/>
      </w:pPr>
      <w:r>
        <w:t>A valid expense claim must contain the required supporting documentation.</w:t>
      </w:r>
    </w:p>
    <w:p>
      <w:pPr>
        <w:spacing w:after="120"/>
      </w:pPr>
      <w:r>
        <w:t>4. Approval</w:t>
      </w:r>
    </w:p>
    <w:p>
      <w:pPr>
        <w:spacing w:after="120"/>
      </w:pPr>
      <w:r>
        <w:t>Expense claims must receive the required approval before reimbursement is processed.</w:t>
      </w:r>
    </w:p>
    <w:p>
      <w:pPr>
        <w:spacing w:after="120"/>
      </w:pPr>
      <w:r>
        <w:t>5. Processing</w:t>
      </w:r>
    </w:p>
    <w:p>
      <w:pPr>
        <w:spacing w:after="120"/>
      </w:pPr>
      <w:r>
        <w:t>The Finance department is responsible for processing approved reimbursement requests.</w:t>
      </w:r>
    </w:p>
    <w:p>
      <w:pPr>
        <w:spacing w:after="120"/>
      </w:pPr>
      <w:r>
        <w:t>6. Reimbursement Limits</w:t>
      </w:r>
    </w:p>
    <w:p>
      <w:pPr>
        <w:spacing w:after="120"/>
      </w:pPr>
      <w:r>
        <w:t>Reimbursement is subject to the applicable limits and approval authority defined by the organization.</w:t>
      </w:r>
    </w:p>
    <w:p>
      <w:pPr>
        <w:spacing w:after="120"/>
      </w:pPr>
      <w:r>
        <w:t>7. Responsibilities</w:t>
      </w:r>
    </w:p>
    <w:p>
      <w:pPr>
        <w:spacing w:after="120"/>
      </w:pPr>
      <w:r>
        <w:t>Employees are responsible for submitting accurate claims.</w:t>
      </w:r>
    </w:p>
    <w:p>
      <w:pPr>
        <w:spacing w:after="120"/>
      </w:pPr>
      <w:r>
        <w:t>Managers are responsible for reviewing claims within their authority.</w:t>
      </w:r>
    </w:p>
    <w:p>
      <w:pPr>
        <w:spacing w:after="120"/>
      </w:pPr>
      <w:r>
        <w:t>Finance is responsible for processing approved claims.</w:t>
      </w:r>
    </w:p>
    <w:p>
      <w:pPr>
        <w:spacing w:after="120"/>
      </w:pPr>
      <w:r>
        <w:t>8.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