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TRAVEL EXPENSE POLICY</w:t>
      </w:r>
    </w:p>
    <w:p>
      <w:pPr>
        <w:spacing w:after="120"/>
      </w:pPr>
      <w:r>
        <w:t>Document ID: FIN-005</w:t>
      </w:r>
    </w:p>
    <w:p>
      <w:pPr>
        <w:spacing w:after="120"/>
      </w:pPr>
      <w:r>
        <w:t>Department: Finance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requirements for employee business travel and related expenses.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employees undertaking authorized business travel on behalf of the organization.</w:t>
      </w:r>
    </w:p>
    <w:p>
      <w:pPr>
        <w:spacing w:after="120"/>
      </w:pPr>
      <w:r>
        <w:t>3. Travel Authorization</w:t>
      </w:r>
    </w:p>
    <w:p>
      <w:pPr>
        <w:spacing w:after="120"/>
      </w:pPr>
      <w:r>
        <w:t>Employees must obtain appropriate approval before undertaking business travel.</w:t>
      </w:r>
    </w:p>
    <w:p>
      <w:pPr>
        <w:spacing w:after="120"/>
      </w:pPr>
      <w:r>
        <w:t>4. Eligible Expenses</w:t>
      </w:r>
    </w:p>
    <w:p>
      <w:pPr>
        <w:spacing w:after="120"/>
      </w:pPr>
      <w:r>
        <w:t>Reasonable travel expenses incurred for authorized business purposes may be claimed according to organizational limits.</w:t>
      </w:r>
    </w:p>
    <w:p>
      <w:pPr>
        <w:spacing w:after="120"/>
      </w:pPr>
      <w:r>
        <w:t>5. Transportation</w:t>
      </w:r>
    </w:p>
    <w:p>
      <w:pPr>
        <w:spacing w:after="120"/>
      </w:pPr>
      <w:r>
        <w:t>Transportation expenses must be supported by appropriate receipts or travel documentation.</w:t>
      </w:r>
    </w:p>
    <w:p>
      <w:pPr>
        <w:spacing w:after="120"/>
      </w:pPr>
      <w:r>
        <w:t>6. Accommodation</w:t>
      </w:r>
    </w:p>
    <w:p>
      <w:pPr>
        <w:spacing w:after="120"/>
      </w:pPr>
      <w:r>
        <w:t>Accommodation expenses must remain within the limits established by the organization unless an exception has been approved.</w:t>
      </w:r>
    </w:p>
    <w:p>
      <w:pPr>
        <w:spacing w:after="120"/>
      </w:pPr>
      <w:r>
        <w:t>7. Expense Submission</w:t>
      </w:r>
    </w:p>
    <w:p>
      <w:pPr>
        <w:spacing w:after="120"/>
      </w:pPr>
      <w:r>
        <w:t>Employees must submit travel expense claims within 30 days after completing the business trip.</w:t>
      </w:r>
    </w:p>
    <w:p>
      <w:pPr>
        <w:spacing w:after="120"/>
      </w:pPr>
      <w:r>
        <w:t>8. Approval</w:t>
      </w:r>
    </w:p>
    <w:p>
      <w:pPr>
        <w:spacing w:after="120"/>
      </w:pPr>
      <w:r>
        <w:t>Travel expense claims must be reviewed according to the Financial Approval Authority Policy.</w:t>
      </w:r>
    </w:p>
    <w:p>
      <w:pPr>
        <w:spacing w:after="120"/>
      </w:pPr>
      <w:r>
        <w:t>9. Reimbursement</w:t>
      </w:r>
    </w:p>
    <w:p>
      <w:pPr>
        <w:spacing w:after="120"/>
      </w:pPr>
      <w:r>
        <w:t>Approved travel expenses may be reimbursed according to the Reimbursement Policy.</w:t>
      </w:r>
    </w:p>
    <w:p>
      <w:pPr>
        <w:spacing w:after="120"/>
      </w:pPr>
      <w:r>
        <w:t>10. Procurement</w:t>
      </w:r>
    </w:p>
    <w:p>
      <w:pPr>
        <w:spacing w:after="120"/>
      </w:pPr>
      <w:r>
        <w:t>Travel-related purchases must comply with applicable procurement requirements.</w:t>
      </w:r>
    </w:p>
    <w:p>
      <w:pPr>
        <w:spacing w:after="120"/>
      </w:pPr>
      <w:r>
        <w:t>11.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