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ACCESS CONTROL POLICY</w:t>
      </w:r>
    </w:p>
    <w:p>
      <w:pPr>
        <w:spacing w:after="120"/>
      </w:pPr>
      <w:r>
        <w:t>Document ID: IT-006</w:t>
      </w:r>
    </w:p>
    <w:p>
      <w:pPr>
        <w:spacing w:after="120"/>
      </w:pPr>
      <w:r>
        <w:t>Department: Information Technology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establishes requirements for controlling access to organizational systems and information.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employees, administrators, and organizational systems.</w:t>
      </w:r>
    </w:p>
    <w:p>
      <w:pPr>
        <w:spacing w:after="120"/>
      </w:pPr>
      <w:r>
        <w:t>3. Access Authorization</w:t>
      </w:r>
    </w:p>
    <w:p>
      <w:pPr>
        <w:spacing w:after="120"/>
      </w:pPr>
      <w:r>
        <w:t>Employees may access organizational systems only when access has been authorized according to their organizational role.</w:t>
      </w:r>
    </w:p>
    <w:p>
      <w:pPr>
        <w:spacing w:after="120"/>
      </w:pPr>
      <w:r>
        <w:t>4. Least Privilege</w:t>
      </w:r>
    </w:p>
    <w:p>
      <w:pPr>
        <w:spacing w:after="120"/>
      </w:pPr>
      <w:r>
        <w:t>Users must receive only the system access required to perform their assigned responsibilities.</w:t>
      </w:r>
    </w:p>
    <w:p>
      <w:pPr>
        <w:spacing w:after="120"/>
      </w:pPr>
      <w:r>
        <w:t>5. Authentication</w:t>
      </w:r>
    </w:p>
    <w:p>
      <w:pPr>
        <w:spacing w:after="120"/>
      </w:pPr>
      <w:r>
        <w:t>Users must authenticate using approved organizational authentication mechanisms.</w:t>
      </w:r>
    </w:p>
    <w:p>
      <w:pPr>
        <w:spacing w:after="120"/>
      </w:pPr>
      <w:r>
        <w:t>6. Access Review</w:t>
      </w:r>
    </w:p>
    <w:p>
      <w:pPr>
        <w:spacing w:after="120"/>
      </w:pPr>
      <w:r>
        <w:t>IT administrators must review user access rights at least once every 90 days.</w:t>
      </w:r>
    </w:p>
    <w:p>
      <w:pPr>
        <w:spacing w:after="120"/>
      </w:pPr>
      <w:r>
        <w:t>7. Access Removal</w:t>
      </w:r>
    </w:p>
    <w:p>
      <w:pPr>
        <w:spacing w:after="120"/>
      </w:pPr>
      <w:r>
        <w:t>Access must be removed when an employee leaves the organization or no longer requires the associated resources.</w:t>
      </w:r>
    </w:p>
    <w:p>
      <w:pPr>
        <w:spacing w:after="120"/>
      </w:pPr>
      <w:r>
        <w:t>8. Data Protection</w:t>
      </w:r>
    </w:p>
    <w:p>
      <w:pPr>
        <w:spacing w:after="120"/>
      </w:pPr>
      <w:r>
        <w:t>Access to confidential organizational information must comply with the Data Protection Policy.</w:t>
      </w:r>
    </w:p>
    <w:p>
      <w:pPr>
        <w:spacing w:after="120"/>
      </w:pPr>
      <w:r>
        <w:t>9. Incident Response</w:t>
      </w:r>
    </w:p>
    <w:p>
      <w:pPr>
        <w:spacing w:after="120"/>
      </w:pPr>
      <w:r>
        <w:t>Unauthorized access incidents must be reported and handled according to the Incident Response Policy.</w:t>
      </w:r>
    </w:p>
    <w:p>
      <w:pPr>
        <w:spacing w:after="120"/>
      </w:pPr>
      <w:r>
        <w:t>10. Responsibilities</w:t>
      </w:r>
    </w:p>
    <w:p>
      <w:pPr>
        <w:spacing w:after="120"/>
      </w:pPr>
      <w:r>
        <w:t>Employees are responsible for using only authorized systems and resources.</w:t>
      </w:r>
    </w:p>
    <w:p>
      <w:pPr>
        <w:spacing w:after="120"/>
      </w:pPr>
      <w:r>
        <w:t>IT administrators are responsible for managing and reviewing access rights.</w:t>
      </w:r>
    </w:p>
    <w:p>
      <w:pPr>
        <w:spacing w:after="120"/>
      </w:pPr>
      <w:r>
        <w:t>11.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