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2124"/>
        <w:gridCol w:w="4814"/>
      </w:tblGrid>
      <w:tr w:rsidR="00EB0ECB" w14:paraId="241F21E5" w14:textId="77777777" w:rsidTr="00EB0ECB">
        <w:trPr>
          <w:gridAfter w:val="1"/>
          <w:wAfter w:w="4814" w:type="dxa"/>
        </w:trPr>
        <w:tc>
          <w:tcPr>
            <w:tcW w:w="4813" w:type="dxa"/>
            <w:gridSpan w:val="2"/>
          </w:tcPr>
          <w:p w14:paraId="7B1541B0" w14:textId="39BDB154" w:rsidR="00EB0ECB" w:rsidRPr="00A22D05" w:rsidRDefault="00595E35" w:rsidP="00EB0ECB">
            <w:pPr>
              <w:rPr>
                <w:rFonts w:ascii="Times New Roman" w:hAnsi="Times New Roman" w:cs="Times New Roman"/>
                <w:b/>
                <w:bCs/>
                <w:sz w:val="28"/>
                <w:szCs w:val="28"/>
              </w:rPr>
            </w:pPr>
            <w:r>
              <w:rPr>
                <w:rFonts w:ascii="Times New Roman" w:hAnsi="Times New Roman" w:cs="Times New Roman"/>
                <w:b/>
                <w:bCs/>
                <w:sz w:val="28"/>
                <w:szCs w:val="28"/>
              </w:rPr>
              <w:t xml:space="preserve">Cloud Security &amp; Privacy Lab                                             </w:t>
            </w:r>
            <w:r w:rsidRPr="00595E35">
              <w:rPr>
                <w:rFonts w:ascii="Times New Roman" w:hAnsi="Times New Roman" w:cs="Times New Roman"/>
                <w:b/>
                <w:bCs/>
                <w:sz w:val="28"/>
                <w:szCs w:val="28"/>
              </w:rPr>
              <w:t>23CSE3108</w:t>
            </w:r>
          </w:p>
        </w:tc>
      </w:tr>
      <w:tr w:rsidR="00EB0ECB" w14:paraId="640079FC" w14:textId="77777777" w:rsidTr="00EB0ECB">
        <w:trPr>
          <w:gridAfter w:val="1"/>
          <w:wAfter w:w="4814" w:type="dxa"/>
        </w:trPr>
        <w:tc>
          <w:tcPr>
            <w:tcW w:w="4813" w:type="dxa"/>
            <w:gridSpan w:val="2"/>
          </w:tcPr>
          <w:p w14:paraId="0D05281F" w14:textId="782EB0AA" w:rsidR="00EB0ECB" w:rsidRPr="00A22D05" w:rsidRDefault="00EB0ECB" w:rsidP="00EB0ECB">
            <w:pPr>
              <w:rPr>
                <w:rFonts w:ascii="Times New Roman" w:hAnsi="Times New Roman" w:cs="Times New Roman"/>
                <w:b/>
                <w:bCs/>
                <w:sz w:val="28"/>
                <w:szCs w:val="28"/>
              </w:rPr>
            </w:pPr>
          </w:p>
        </w:tc>
      </w:tr>
      <w:tr w:rsidR="00EB0ECB" w14:paraId="4D041975" w14:textId="77777777" w:rsidTr="00EB0ECB">
        <w:trPr>
          <w:gridAfter w:val="1"/>
          <w:wAfter w:w="4814" w:type="dxa"/>
        </w:trPr>
        <w:tc>
          <w:tcPr>
            <w:tcW w:w="4813" w:type="dxa"/>
            <w:gridSpan w:val="2"/>
          </w:tcPr>
          <w:p w14:paraId="67694835" w14:textId="6EC12E50" w:rsidR="00EB0ECB" w:rsidRPr="00A22D05" w:rsidRDefault="00EB0ECB" w:rsidP="00EB0ECB">
            <w:pPr>
              <w:rPr>
                <w:rFonts w:ascii="Times New Roman" w:hAnsi="Times New Roman" w:cs="Times New Roman"/>
                <w:b/>
                <w:bCs/>
                <w:sz w:val="28"/>
                <w:szCs w:val="28"/>
              </w:rPr>
            </w:pPr>
          </w:p>
        </w:tc>
      </w:tr>
      <w:tr w:rsidR="00D04F04" w14:paraId="55D99157" w14:textId="77777777" w:rsidTr="00A42B1B">
        <w:tc>
          <w:tcPr>
            <w:tcW w:w="2689" w:type="dxa"/>
          </w:tcPr>
          <w:p w14:paraId="2C3C96CE" w14:textId="05231442" w:rsidR="00D04F04" w:rsidRPr="00D04F04" w:rsidRDefault="00D04F04">
            <w:pPr>
              <w:rPr>
                <w:rFonts w:ascii="Times New Roman" w:hAnsi="Times New Roman" w:cs="Times New Roman"/>
                <w:b/>
                <w:bCs/>
                <w:sz w:val="28"/>
                <w:szCs w:val="28"/>
              </w:rPr>
            </w:pPr>
            <w:r w:rsidRPr="00D04F04">
              <w:rPr>
                <w:rFonts w:ascii="Times New Roman" w:hAnsi="Times New Roman" w:cs="Times New Roman"/>
                <w:b/>
                <w:bCs/>
                <w:sz w:val="28"/>
                <w:szCs w:val="28"/>
              </w:rPr>
              <w:t>Name of the Student</w:t>
            </w:r>
          </w:p>
        </w:tc>
        <w:tc>
          <w:tcPr>
            <w:tcW w:w="6938" w:type="dxa"/>
            <w:gridSpan w:val="2"/>
          </w:tcPr>
          <w:p w14:paraId="2B722A9D" w14:textId="6AE98198" w:rsidR="00D04F04" w:rsidRPr="00D04F04" w:rsidRDefault="00E00E02">
            <w:pPr>
              <w:rPr>
                <w:rFonts w:ascii="Times New Roman" w:hAnsi="Times New Roman" w:cs="Times New Roman"/>
                <w:sz w:val="28"/>
                <w:szCs w:val="28"/>
              </w:rPr>
            </w:pPr>
            <w:r>
              <w:rPr>
                <w:rFonts w:ascii="Times New Roman" w:hAnsi="Times New Roman" w:cs="Times New Roman"/>
                <w:sz w:val="28"/>
                <w:szCs w:val="28"/>
              </w:rPr>
              <w:t>:</w:t>
            </w:r>
            <w:r w:rsidR="00740CD4">
              <w:rPr>
                <w:rFonts w:ascii="Times New Roman" w:hAnsi="Times New Roman" w:cs="Times New Roman"/>
                <w:sz w:val="28"/>
                <w:szCs w:val="28"/>
              </w:rPr>
              <w:t xml:space="preserve"> </w:t>
            </w:r>
            <w:r w:rsidR="00740CD4" w:rsidRPr="00782C31">
              <w:rPr>
                <w:rFonts w:ascii="Times New Roman" w:hAnsi="Times New Roman" w:cs="Times New Roman"/>
                <w:b/>
                <w:bCs/>
                <w:sz w:val="28"/>
                <w:szCs w:val="28"/>
              </w:rPr>
              <w:t>Jeevesh Pandey</w:t>
            </w:r>
          </w:p>
        </w:tc>
      </w:tr>
      <w:tr w:rsidR="00D04F04" w14:paraId="458B1A87" w14:textId="77777777" w:rsidTr="00A42B1B">
        <w:tc>
          <w:tcPr>
            <w:tcW w:w="2689" w:type="dxa"/>
          </w:tcPr>
          <w:p w14:paraId="4334664A" w14:textId="77777777" w:rsidR="00D04F04" w:rsidRDefault="00D04F04">
            <w:pPr>
              <w:rPr>
                <w:rFonts w:ascii="Times New Roman" w:hAnsi="Times New Roman" w:cs="Times New Roman"/>
                <w:b/>
                <w:bCs/>
                <w:sz w:val="28"/>
                <w:szCs w:val="28"/>
              </w:rPr>
            </w:pPr>
            <w:r w:rsidRPr="00D04F04">
              <w:rPr>
                <w:rFonts w:ascii="Times New Roman" w:hAnsi="Times New Roman" w:cs="Times New Roman"/>
                <w:b/>
                <w:bCs/>
                <w:sz w:val="28"/>
                <w:szCs w:val="28"/>
              </w:rPr>
              <w:t>Division</w:t>
            </w:r>
          </w:p>
          <w:p w14:paraId="16A99B50" w14:textId="34758E6D" w:rsidR="00595E35" w:rsidRPr="00D04F04" w:rsidRDefault="00595E35">
            <w:pPr>
              <w:rPr>
                <w:rFonts w:ascii="Times New Roman" w:hAnsi="Times New Roman" w:cs="Times New Roman"/>
                <w:b/>
                <w:bCs/>
                <w:sz w:val="28"/>
                <w:szCs w:val="28"/>
              </w:rPr>
            </w:pPr>
            <w:r>
              <w:rPr>
                <w:rFonts w:ascii="Times New Roman" w:hAnsi="Times New Roman" w:cs="Times New Roman"/>
                <w:b/>
                <w:bCs/>
                <w:sz w:val="28"/>
                <w:szCs w:val="28"/>
              </w:rPr>
              <w:t>Batch</w:t>
            </w:r>
          </w:p>
        </w:tc>
        <w:tc>
          <w:tcPr>
            <w:tcW w:w="6938" w:type="dxa"/>
            <w:gridSpan w:val="2"/>
          </w:tcPr>
          <w:p w14:paraId="5CAFFA66" w14:textId="77777777" w:rsidR="00D04F04" w:rsidRDefault="00E00E02">
            <w:pPr>
              <w:rPr>
                <w:rFonts w:ascii="Times New Roman" w:hAnsi="Times New Roman" w:cs="Times New Roman"/>
                <w:sz w:val="28"/>
                <w:szCs w:val="28"/>
              </w:rPr>
            </w:pPr>
            <w:r>
              <w:rPr>
                <w:rFonts w:ascii="Times New Roman" w:hAnsi="Times New Roman" w:cs="Times New Roman"/>
                <w:sz w:val="28"/>
                <w:szCs w:val="28"/>
              </w:rPr>
              <w:t>:</w:t>
            </w:r>
            <w:r w:rsidR="00740CD4">
              <w:rPr>
                <w:rFonts w:ascii="Times New Roman" w:hAnsi="Times New Roman" w:cs="Times New Roman"/>
                <w:sz w:val="28"/>
                <w:szCs w:val="28"/>
              </w:rPr>
              <w:t xml:space="preserve"> </w:t>
            </w:r>
            <w:r w:rsidR="00595E35">
              <w:rPr>
                <w:rFonts w:ascii="Times New Roman" w:hAnsi="Times New Roman" w:cs="Times New Roman"/>
                <w:sz w:val="28"/>
                <w:szCs w:val="28"/>
              </w:rPr>
              <w:t>TY – CSF 01</w:t>
            </w:r>
          </w:p>
          <w:p w14:paraId="03B80456" w14:textId="33B7C3AC" w:rsidR="00595E35" w:rsidRPr="00D04F04" w:rsidRDefault="00595E35">
            <w:pPr>
              <w:rPr>
                <w:rFonts w:ascii="Times New Roman" w:hAnsi="Times New Roman" w:cs="Times New Roman"/>
                <w:sz w:val="28"/>
                <w:szCs w:val="28"/>
              </w:rPr>
            </w:pPr>
            <w:r>
              <w:rPr>
                <w:rFonts w:ascii="Times New Roman" w:hAnsi="Times New Roman" w:cs="Times New Roman"/>
                <w:sz w:val="28"/>
                <w:szCs w:val="28"/>
              </w:rPr>
              <w:t>: B</w:t>
            </w:r>
          </w:p>
        </w:tc>
      </w:tr>
      <w:tr w:rsidR="00D04F04" w14:paraId="7FD24BF9" w14:textId="77777777" w:rsidTr="00A42B1B">
        <w:tc>
          <w:tcPr>
            <w:tcW w:w="2689" w:type="dxa"/>
          </w:tcPr>
          <w:p w14:paraId="04858B3B" w14:textId="78A2CF45" w:rsidR="00D04F04" w:rsidRPr="00D04F04" w:rsidRDefault="00D04F04">
            <w:pPr>
              <w:rPr>
                <w:rFonts w:ascii="Times New Roman" w:hAnsi="Times New Roman" w:cs="Times New Roman"/>
                <w:b/>
                <w:bCs/>
                <w:sz w:val="28"/>
                <w:szCs w:val="28"/>
              </w:rPr>
            </w:pPr>
            <w:r w:rsidRPr="00D04F04">
              <w:rPr>
                <w:rFonts w:ascii="Times New Roman" w:hAnsi="Times New Roman" w:cs="Times New Roman"/>
                <w:b/>
                <w:bCs/>
                <w:sz w:val="28"/>
                <w:szCs w:val="28"/>
              </w:rPr>
              <w:t>Enrolment No.</w:t>
            </w:r>
          </w:p>
        </w:tc>
        <w:tc>
          <w:tcPr>
            <w:tcW w:w="6938" w:type="dxa"/>
            <w:gridSpan w:val="2"/>
          </w:tcPr>
          <w:p w14:paraId="123B1647" w14:textId="27B73897" w:rsidR="00D04F04" w:rsidRPr="00D04F04" w:rsidRDefault="00E00E02">
            <w:pPr>
              <w:rPr>
                <w:rFonts w:ascii="Times New Roman" w:hAnsi="Times New Roman" w:cs="Times New Roman"/>
                <w:sz w:val="28"/>
                <w:szCs w:val="28"/>
              </w:rPr>
            </w:pPr>
            <w:r>
              <w:rPr>
                <w:rFonts w:ascii="Times New Roman" w:hAnsi="Times New Roman" w:cs="Times New Roman"/>
                <w:sz w:val="28"/>
                <w:szCs w:val="28"/>
              </w:rPr>
              <w:t>:</w:t>
            </w:r>
            <w:r w:rsidR="00740CD4">
              <w:rPr>
                <w:rFonts w:ascii="Times New Roman" w:hAnsi="Times New Roman" w:cs="Times New Roman"/>
                <w:sz w:val="28"/>
                <w:szCs w:val="28"/>
              </w:rPr>
              <w:t xml:space="preserve"> ADT23SOCB0485</w:t>
            </w:r>
          </w:p>
        </w:tc>
      </w:tr>
      <w:tr w:rsidR="00D04F04" w14:paraId="12D4B48D" w14:textId="77777777" w:rsidTr="00A42B1B">
        <w:tc>
          <w:tcPr>
            <w:tcW w:w="2689" w:type="dxa"/>
          </w:tcPr>
          <w:p w14:paraId="41B999C6" w14:textId="7776AE48" w:rsidR="00D04F04" w:rsidRPr="00D04F04" w:rsidRDefault="00D04F04">
            <w:pPr>
              <w:rPr>
                <w:rFonts w:ascii="Times New Roman" w:hAnsi="Times New Roman" w:cs="Times New Roman"/>
                <w:b/>
                <w:bCs/>
                <w:sz w:val="28"/>
                <w:szCs w:val="28"/>
              </w:rPr>
            </w:pPr>
            <w:r w:rsidRPr="00D04F04">
              <w:rPr>
                <w:rFonts w:ascii="Times New Roman" w:hAnsi="Times New Roman" w:cs="Times New Roman"/>
                <w:b/>
                <w:bCs/>
                <w:sz w:val="28"/>
                <w:szCs w:val="28"/>
              </w:rPr>
              <w:t>Roll No.</w:t>
            </w:r>
          </w:p>
        </w:tc>
        <w:tc>
          <w:tcPr>
            <w:tcW w:w="6938" w:type="dxa"/>
            <w:gridSpan w:val="2"/>
          </w:tcPr>
          <w:p w14:paraId="084D26C3" w14:textId="7F7983E1" w:rsidR="002D7231" w:rsidRPr="00D04F04" w:rsidRDefault="00E00E02">
            <w:pPr>
              <w:rPr>
                <w:rFonts w:ascii="Times New Roman" w:hAnsi="Times New Roman" w:cs="Times New Roman"/>
                <w:sz w:val="28"/>
                <w:szCs w:val="28"/>
              </w:rPr>
            </w:pPr>
            <w:r>
              <w:rPr>
                <w:rFonts w:ascii="Times New Roman" w:hAnsi="Times New Roman" w:cs="Times New Roman"/>
                <w:sz w:val="28"/>
                <w:szCs w:val="28"/>
              </w:rPr>
              <w:t>:</w:t>
            </w:r>
            <w:r w:rsidR="00740CD4">
              <w:rPr>
                <w:rFonts w:ascii="Times New Roman" w:hAnsi="Times New Roman" w:cs="Times New Roman"/>
                <w:sz w:val="28"/>
                <w:szCs w:val="28"/>
              </w:rPr>
              <w:t xml:space="preserve"> </w:t>
            </w:r>
            <w:r w:rsidR="00595E35">
              <w:rPr>
                <w:rFonts w:ascii="Times New Roman" w:hAnsi="Times New Roman" w:cs="Times New Roman"/>
                <w:sz w:val="28"/>
                <w:szCs w:val="28"/>
              </w:rPr>
              <w:t xml:space="preserve">33 </w:t>
            </w:r>
          </w:p>
        </w:tc>
      </w:tr>
    </w:tbl>
    <w:p w14:paraId="0CACF1AB" w14:textId="77777777" w:rsidR="00EB0ECB" w:rsidRDefault="00EB0ECB"/>
    <w:p w14:paraId="75A42033" w14:textId="77777777" w:rsidR="00E00E02" w:rsidRDefault="00E00E02"/>
    <w:tbl>
      <w:tblPr>
        <w:tblStyle w:val="TableGrid"/>
        <w:tblW w:w="10065" w:type="dxa"/>
        <w:tblInd w:w="-431" w:type="dxa"/>
        <w:tblLook w:val="04A0" w:firstRow="1" w:lastRow="0" w:firstColumn="1" w:lastColumn="0" w:noHBand="0" w:noVBand="1"/>
      </w:tblPr>
      <w:tblGrid>
        <w:gridCol w:w="1364"/>
        <w:gridCol w:w="9246"/>
      </w:tblGrid>
      <w:tr w:rsidR="005B461A" w14:paraId="127B9175" w14:textId="77777777" w:rsidTr="00EA63BE">
        <w:trPr>
          <w:trHeight w:val="474"/>
        </w:trPr>
        <w:tc>
          <w:tcPr>
            <w:tcW w:w="10065" w:type="dxa"/>
            <w:gridSpan w:val="2"/>
          </w:tcPr>
          <w:p>
            <w:pPr>
              <w:spacing w:before="80" w:after="120" w:line="360" w:lineRule="auto"/>
            </w:pPr>
            <w:r>
              <w:rPr>
                <w:rFonts w:ascii="Times New Roman" w:hAnsi="Times New Roman" w:cs="Times New Roman"/>
                <w:b/>
                <w:bCs/>
                <w:sz w:val="24"/>
                <w:szCs w:val="24"/>
              </w:rPr>
              <w:t>Title:</w:t>
            </w:r>
          </w:p>
          <w:p>
            <w:pPr>
              <w:spacing w:before="80" w:after="120" w:line="360" w:lineRule="auto"/>
            </w:pPr>
            <w:r>
              <w:rPr>
                <w:rFonts w:ascii="Times New Roman" w:hAnsi="Times New Roman" w:cs="Times New Roman"/>
                <w:sz w:val="24"/>
                <w:szCs w:val="24"/>
              </w:rPr>
              <w:t>"Case Study: Privacy and Compliance Analysis in Cloud Environments"</w:t>
            </w:r>
          </w:p>
        </w:tc>
      </w:tr>
      <w:tr w:rsidR="005B461A" w14:paraId="59A8F089" w14:textId="77777777" w:rsidTr="00EA63BE">
        <w:trPr>
          <w:trHeight w:val="978"/>
        </w:trPr>
        <w:tc>
          <w:tcPr>
            <w:tcW w:w="1364" w:type="dxa"/>
          </w:tcPr>
          <w:p w14:paraId="3D684ECB" w14:textId="77777777" w:rsidR="00782C31" w:rsidRDefault="00782C31">
            <w:pPr>
              <w:rPr>
                <w:rFonts w:ascii="Times New Roman" w:hAnsi="Times New Roman" w:cs="Times New Roman"/>
                <w:b/>
                <w:bCs/>
                <w:sz w:val="24"/>
                <w:szCs w:val="24"/>
              </w:rPr>
            </w:pPr>
          </w:p>
          <w:p w14:paraId="2987E10A" w14:textId="259E1A6B" w:rsidR="005B461A" w:rsidRPr="00A42B1B" w:rsidRDefault="005B461A">
            <w:pPr>
              <w:rPr>
                <w:rFonts w:ascii="Times New Roman" w:hAnsi="Times New Roman" w:cs="Times New Roman"/>
                <w:b/>
                <w:bCs/>
                <w:sz w:val="24"/>
                <w:szCs w:val="24"/>
              </w:rPr>
            </w:pPr>
            <w:r w:rsidRPr="00A42B1B">
              <w:rPr>
                <w:rFonts w:ascii="Times New Roman" w:hAnsi="Times New Roman" w:cs="Times New Roman"/>
                <w:b/>
                <w:bCs/>
                <w:sz w:val="24"/>
                <w:szCs w:val="24"/>
              </w:rPr>
              <w:t>Aim</w:t>
            </w:r>
          </w:p>
        </w:tc>
        <w:tc>
          <w:tcPr>
            <w:tcW w:w="8701" w:type="dxa"/>
          </w:tcPr>
          <w:p>
            <w:pPr>
              <w:spacing w:before="80" w:after="120" w:line="360" w:lineRule="auto"/>
            </w:pPr>
            <w:r>
              <w:rPr>
                <w:rFonts w:ascii="Times New Roman" w:hAnsi="Times New Roman" w:cs="Times New Roman"/>
                <w:sz w:val="24"/>
                <w:szCs w:val="24"/>
              </w:rPr>
              <w:t>To study the importance of privacy and compliance in cloud environments and to analyze how AWS security services, governance mechanisms, and monitoring controls can be applied to safeguard sensitive information, support audit readiness, and maintain a secure operational posture in real-world cloud deployments.</w:t>
            </w:r>
          </w:p>
        </w:tc>
      </w:tr>
      <w:tr w:rsidR="005B461A" w14:paraId="3A89454B" w14:textId="77777777" w:rsidTr="00EA63BE">
        <w:trPr>
          <w:trHeight w:val="1405"/>
        </w:trPr>
        <w:tc>
          <w:tcPr>
            <w:tcW w:w="1364" w:type="dxa"/>
          </w:tcPr>
          <w:p w14:paraId="5EC0CDA5" w14:textId="77777777" w:rsidR="00782C31" w:rsidRDefault="00782C31">
            <w:pPr>
              <w:rPr>
                <w:rFonts w:ascii="Times New Roman" w:hAnsi="Times New Roman" w:cs="Times New Roman"/>
                <w:b/>
                <w:bCs/>
                <w:sz w:val="24"/>
                <w:szCs w:val="24"/>
              </w:rPr>
            </w:pPr>
          </w:p>
          <w:p w14:paraId="4120AB02" w14:textId="2F6C09CD" w:rsidR="005B461A" w:rsidRPr="00A42B1B" w:rsidRDefault="005B461A">
            <w:pPr>
              <w:rPr>
                <w:rFonts w:ascii="Times New Roman" w:hAnsi="Times New Roman" w:cs="Times New Roman"/>
                <w:b/>
                <w:bCs/>
                <w:sz w:val="24"/>
                <w:szCs w:val="24"/>
              </w:rPr>
            </w:pPr>
            <w:r w:rsidRPr="00A42B1B">
              <w:rPr>
                <w:rFonts w:ascii="Times New Roman" w:hAnsi="Times New Roman" w:cs="Times New Roman"/>
                <w:b/>
                <w:bCs/>
                <w:sz w:val="24"/>
                <w:szCs w:val="24"/>
              </w:rPr>
              <w:t>Objective</w:t>
            </w:r>
            <w:r w:rsidR="0034666F" w:rsidRPr="00A42B1B">
              <w:rPr>
                <w:rFonts w:ascii="Times New Roman" w:hAnsi="Times New Roman" w:cs="Times New Roman"/>
                <w:b/>
                <w:bCs/>
                <w:sz w:val="24"/>
                <w:szCs w:val="24"/>
              </w:rPr>
              <w:t>s</w:t>
            </w:r>
          </w:p>
        </w:tc>
        <w:tc>
          <w:tcPr>
            <w:tcW w:w="8701" w:type="dxa"/>
          </w:tcPr>
          <w:p>
            <w:pPr>
              <w:spacing w:before="80" w:after="120" w:line="360" w:lineRule="auto"/>
            </w:pPr>
            <w:r>
              <w:rPr>
                <w:rFonts w:ascii="Times New Roman" w:hAnsi="Times New Roman" w:cs="Times New Roman"/>
                <w:sz w:val="24"/>
                <w:szCs w:val="24"/>
              </w:rPr>
              <w:t>1. To understand the meaning of privacy, compliance, governance, and accountability in the context of cloud computing.</w:t>
            </w:r>
          </w:p>
          <w:p>
            <w:pPr>
              <w:spacing w:before="80" w:after="120" w:line="360" w:lineRule="auto"/>
            </w:pPr>
            <w:r>
              <w:rPr>
                <w:rFonts w:ascii="Times New Roman" w:hAnsi="Times New Roman" w:cs="Times New Roman"/>
                <w:sz w:val="24"/>
                <w:szCs w:val="24"/>
              </w:rPr>
              <w:t>2. To examine how the AWS shared responsibility model influences privacy protection and regulatory compliance obligations.</w:t>
            </w:r>
          </w:p>
          <w:p>
            <w:pPr>
              <w:spacing w:before="80" w:after="120" w:line="360" w:lineRule="auto"/>
            </w:pPr>
            <w:r>
              <w:rPr>
                <w:rFonts w:ascii="Times New Roman" w:hAnsi="Times New Roman" w:cs="Times New Roman"/>
                <w:sz w:val="24"/>
                <w:szCs w:val="24"/>
              </w:rPr>
              <w:t>3. To analyze the role of IAM, Amazon S3, Amazon VPC, AWS KMS, AWS CloudTrail, Amazon CloudWatch, AWS Config, Security Hub, and AWS Lambda in implementing cloud security controls.</w:t>
            </w:r>
          </w:p>
          <w:p>
            <w:pPr>
              <w:spacing w:before="80" w:after="120" w:line="360" w:lineRule="auto"/>
            </w:pPr>
            <w:r>
              <w:rPr>
                <w:rFonts w:ascii="Times New Roman" w:hAnsi="Times New Roman" w:cs="Times New Roman"/>
                <w:sz w:val="24"/>
                <w:szCs w:val="24"/>
              </w:rPr>
              <w:t>4. To study how authentication, authorization, encryption, logging, monitoring, and automated remediation collectively strengthen data protection in AWS.</w:t>
            </w:r>
          </w:p>
          <w:p>
            <w:pPr>
              <w:spacing w:before="80" w:after="120" w:line="360" w:lineRule="auto"/>
            </w:pPr>
            <w:r>
              <w:rPr>
                <w:rFonts w:ascii="Times New Roman" w:hAnsi="Times New Roman" w:cs="Times New Roman"/>
                <w:sz w:val="24"/>
                <w:szCs w:val="24"/>
              </w:rPr>
              <w:t>5. To map the AWS Academy Cloud Security Foundations learning modules to practical privacy and compliance requirements commonly expected in enterprise cloud environments.</w:t>
            </w:r>
          </w:p>
          <w:p>
            <w:pPr>
              <w:spacing w:before="80" w:after="120" w:line="360" w:lineRule="auto"/>
            </w:pPr>
            <w:r>
              <w:rPr>
                <w:rFonts w:ascii="Times New Roman" w:hAnsi="Times New Roman" w:cs="Times New Roman"/>
                <w:sz w:val="24"/>
                <w:szCs w:val="24"/>
              </w:rPr>
              <w:t>6. To prepare a structured academic and practical case-study record that demonstrates both conceptual understanding and applied analysis of cloud security practices.</w:t>
            </w:r>
          </w:p>
        </w:tc>
      </w:tr>
      <w:tr w:rsidR="009E1CEA" w14:paraId="37AE7C20" w14:textId="77777777" w:rsidTr="00EA63BE">
        <w:trPr>
          <w:trHeight w:val="1405"/>
        </w:trPr>
        <w:tc>
          <w:tcPr>
            <w:tcW w:w="1364" w:type="dxa"/>
            <w:vAlign w:val="center"/>
          </w:tcPr>
          <w:p w14:paraId="2A497176" w14:textId="66B9DE44" w:rsidR="009E1CEA" w:rsidRDefault="009E1CEA" w:rsidP="009E1CEA">
            <w:pPr>
              <w:jc w:val="center"/>
              <w:rPr>
                <w:rFonts w:ascii="Times New Roman" w:hAnsi="Times New Roman" w:cs="Times New Roman"/>
                <w:b/>
                <w:bCs/>
                <w:sz w:val="24"/>
                <w:szCs w:val="24"/>
              </w:rPr>
            </w:pPr>
            <w:r>
              <w:rPr>
                <w:rFonts w:ascii="Times New Roman" w:hAnsi="Times New Roman" w:cs="Times New Roman"/>
                <w:b/>
                <w:bCs/>
                <w:sz w:val="24"/>
                <w:szCs w:val="24"/>
              </w:rPr>
              <w:t>Outcomes</w:t>
            </w:r>
          </w:p>
        </w:tc>
        <w:tc>
          <w:tcPr>
            <w:tcW w:w="8701" w:type="dxa"/>
          </w:tcPr>
          <w:p>
            <w:pPr>
              <w:spacing w:before="80" w:after="120" w:line="360" w:lineRule="auto"/>
            </w:pPr>
            <w:r>
              <w:rPr>
                <w:rFonts w:ascii="Times New Roman" w:hAnsi="Times New Roman" w:cs="Times New Roman"/>
                <w:sz w:val="24"/>
                <w:szCs w:val="24"/>
              </w:rPr>
              <w:t>After completion of this case study, we will be able to:</w:t>
            </w:r>
          </w:p>
          <w:p>
            <w:pPr>
              <w:spacing w:before="80" w:after="120" w:line="360" w:lineRule="auto"/>
            </w:pPr>
            <w:r>
              <w:rPr>
                <w:rFonts w:ascii="Times New Roman" w:hAnsi="Times New Roman" w:cs="Times New Roman"/>
                <w:sz w:val="24"/>
                <w:szCs w:val="24"/>
              </w:rPr>
              <w:t>1. Explain the significance of privacy and compliance in the design and operation of cloud-based systems.</w:t>
            </w:r>
          </w:p>
          <w:p>
            <w:pPr>
              <w:spacing w:before="80" w:after="120" w:line="360" w:lineRule="auto"/>
            </w:pPr>
            <w:r>
              <w:rPr>
                <w:rFonts w:ascii="Times New Roman" w:hAnsi="Times New Roman" w:cs="Times New Roman"/>
                <w:sz w:val="24"/>
                <w:szCs w:val="24"/>
              </w:rPr>
              <w:t>2. Identify major risks related to unauthorized access, insecure storage, inadequate monitoring, weak key management, and delayed incident response.</w:t>
            </w:r>
          </w:p>
          <w:p>
            <w:pPr>
              <w:spacing w:before="80" w:after="120" w:line="360" w:lineRule="auto"/>
            </w:pPr>
            <w:r>
              <w:rPr>
                <w:rFonts w:ascii="Times New Roman" w:hAnsi="Times New Roman" w:cs="Times New Roman"/>
                <w:sz w:val="24"/>
                <w:szCs w:val="24"/>
              </w:rPr>
              <w:t>3. Describe how AWS services can be configured to support confidentiality, integrity, traceability, governance, and compliance validation.</w:t>
            </w:r>
          </w:p>
          <w:p>
            <w:pPr>
              <w:spacing w:before="80" w:after="120" w:line="360" w:lineRule="auto"/>
            </w:pPr>
            <w:r>
              <w:rPr>
                <w:rFonts w:ascii="Times New Roman" w:hAnsi="Times New Roman" w:cs="Times New Roman"/>
                <w:sz w:val="24"/>
                <w:szCs w:val="24"/>
              </w:rPr>
              <w:t>4. Relate IAM controls, VPC-level security, encryption mechanisms, and logging tools to real compliance and audit requirements.</w:t>
            </w:r>
          </w:p>
          <w:p>
            <w:pPr>
              <w:spacing w:before="80" w:after="120" w:line="360" w:lineRule="auto"/>
            </w:pPr>
            <w:r>
              <w:rPr>
                <w:rFonts w:ascii="Times New Roman" w:hAnsi="Times New Roman" w:cs="Times New Roman"/>
                <w:sz w:val="24"/>
                <w:szCs w:val="24"/>
              </w:rPr>
              <w:t>5. Analyze a cloud environment from both a technical and managerial perspective and justify why layered security controls are necessary.</w:t>
            </w:r>
          </w:p>
          <w:p>
            <w:pPr>
              <w:spacing w:before="80" w:after="120" w:line="360" w:lineRule="auto"/>
            </w:pPr>
            <w:r>
              <w:rPr>
                <w:rFonts w:ascii="Times New Roman" w:hAnsi="Times New Roman" w:cs="Times New Roman"/>
                <w:sz w:val="24"/>
                <w:szCs w:val="24"/>
              </w:rPr>
              <w:t>6. Produce a well-documented cloud security lab manual suitable for academic evaluation and practical reference.</w:t>
            </w:r>
          </w:p>
        </w:tc>
      </w:tr>
      <w:tr w:rsidR="00EA63BE" w14:paraId="03CF6DF6" w14:textId="77777777" w:rsidTr="00EA63BE">
        <w:trPr>
          <w:trHeight w:val="1405"/>
        </w:trPr>
        <w:tc>
          <w:tcPr>
            <w:tcW w:w="1364" w:type="dxa"/>
            <w:vAlign w:val="center"/>
          </w:tcPr>
          <w:p w14:paraId="1F0B68A9" w14:textId="11DA85CB" w:rsidR="00EA63BE" w:rsidRDefault="00EA63BE" w:rsidP="00EA63BE">
            <w:pPr>
              <w:rPr>
                <w:rFonts w:ascii="Times New Roman" w:hAnsi="Times New Roman" w:cs="Times New Roman"/>
                <w:b/>
                <w:bCs/>
                <w:sz w:val="24"/>
                <w:szCs w:val="24"/>
              </w:rPr>
            </w:pPr>
            <w:r w:rsidRPr="00A42B1B">
              <w:rPr>
                <w:rFonts w:ascii="Times New Roman" w:hAnsi="Times New Roman" w:cs="Times New Roman"/>
                <w:b/>
                <w:bCs/>
                <w:sz w:val="24"/>
                <w:szCs w:val="24"/>
              </w:rPr>
              <w:t>Theory</w:t>
            </w:r>
          </w:p>
        </w:tc>
        <w:tc>
          <w:tcPr>
            <w:tcW w:w="8701" w:type="dxa"/>
          </w:tcPr>
          <w:p>
            <w:pPr>
              <w:spacing w:before="80" w:after="120" w:line="360" w:lineRule="auto"/>
            </w:pPr>
            <w:r>
              <w:rPr>
                <w:rFonts w:ascii="Times New Roman" w:hAnsi="Times New Roman" w:cs="Times New Roman"/>
                <w:b/>
                <w:bCs/>
                <w:sz w:val="24"/>
                <w:szCs w:val="24"/>
              </w:rPr>
              <w:t>THEORETICAL ASPECTS</w:t>
            </w:r>
          </w:p>
          <w:p>
            <w:pPr>
              <w:spacing w:before="80" w:after="120" w:line="360" w:lineRule="auto"/>
            </w:pPr>
            <w:r>
              <w:rPr>
                <w:rFonts w:ascii="Times New Roman" w:hAnsi="Times New Roman" w:cs="Times New Roman"/>
                <w:sz w:val="24"/>
                <w:szCs w:val="24"/>
              </w:rPr>
              <w:t>Cloud computing enables organizations to deploy applications, store data, and deliver digital services with flexibility, scalability, and cost efficiency. However, the movement of sensitive data and business workloads to shared cloud infrastructure introduces significant privacy and compliance concerns. A secure cloud environment must therefore be built not only for operational performance, but also for controlled access, secure communication, protected storage, evidence generation, and policy enforcement.</w:t>
            </w:r>
          </w:p>
          <w:p>
            <w:pPr>
              <w:spacing w:before="80" w:after="120" w:line="360" w:lineRule="auto"/>
            </w:pPr>
            <w:r>
              <w:rPr>
                <w:rFonts w:ascii="Times New Roman" w:hAnsi="Times New Roman" w:cs="Times New Roman"/>
                <w:sz w:val="24"/>
                <w:szCs w:val="24"/>
              </w:rPr>
              <w:t>Privacy in cloud environments refers to the protection of personal, sensitive, confidential, and regulated information from unauthorized access, disclosure, modification, misuse, or loss. Privacy is concerned with who can access the data, where the data is stored, how it is transmitted, how long it is retained, and whether its handling complies with institutional and legal expectations.</w:t>
            </w:r>
          </w:p>
          <w:p>
            <w:pPr>
              <w:spacing w:before="80" w:after="120" w:line="360" w:lineRule="auto"/>
            </w:pPr>
            <w:r>
              <w:rPr>
                <w:rFonts w:ascii="Times New Roman" w:hAnsi="Times New Roman" w:cs="Times New Roman"/>
                <w:sz w:val="24"/>
                <w:szCs w:val="24"/>
              </w:rPr>
              <w:t>Compliance in cloud computing refers to the ability of an organization to operate its systems in accordance with security policies, contractual obligations, legal frameworks, and industry standards. A compliant cloud environment should be able to demonstrate not only that controls are present, but also that they are continuously monitored, auditable, and enforceable.</w:t>
            </w:r>
          </w:p>
          <w:p>
            <w:pPr>
              <w:spacing w:before="80" w:after="120" w:line="360" w:lineRule="auto"/>
            </w:pPr>
            <w:r>
              <w:rPr>
                <w:rFonts w:ascii="Times New Roman" w:hAnsi="Times New Roman" w:cs="Times New Roman"/>
                <w:b/>
                <w:bCs/>
                <w:sz w:val="24"/>
                <w:szCs w:val="24"/>
              </w:rPr>
              <w:t>1. Importance of Privacy in Cloud Environments</w:t>
            </w:r>
          </w:p>
          <w:p>
            <w:pPr>
              <w:spacing w:before="80" w:after="120" w:line="360" w:lineRule="auto"/>
            </w:pPr>
            <w:r>
              <w:rPr>
                <w:rFonts w:ascii="Times New Roman" w:hAnsi="Times New Roman" w:cs="Times New Roman"/>
                <w:sz w:val="24"/>
                <w:szCs w:val="24"/>
              </w:rPr>
              <w:t>Organizations increasingly place student data, healthcare records, payment information, intellectual property, source code, operational logs, and customer records in the cloud. If privacy controls are weak, data may be exposed to unauthorized users, attackers, or even internal actors with excessive privileges. For this reason, privacy in the cloud depends heavily on proper identity management, least-privilege access, encryption, secure APIs, and monitoring of user actions.</w:t>
            </w:r>
          </w:p>
          <w:p>
            <w:pPr>
              <w:spacing w:before="80" w:after="120" w:line="360" w:lineRule="auto"/>
            </w:pPr>
            <w:r>
              <w:rPr>
                <w:rFonts w:ascii="Times New Roman" w:hAnsi="Times New Roman" w:cs="Times New Roman"/>
                <w:sz w:val="24"/>
                <w:szCs w:val="24"/>
              </w:rPr>
              <w:t>In a cloud environment, privacy is not achieved by a single tool. Instead, it results from a combination of administrative, technical, and operational safeguards. Administrative safeguards define policies and responsibilities. Technical safeguards include access control, network isolation, and encryption. Operational safeguards include monitoring, incident handling, and periodic reviews.</w:t>
            </w:r>
          </w:p>
          <w:p>
            <w:pPr>
              <w:spacing w:before="80" w:after="120" w:line="360" w:lineRule="auto"/>
            </w:pPr>
            <w:r>
              <w:rPr>
                <w:rFonts w:ascii="Times New Roman" w:hAnsi="Times New Roman" w:cs="Times New Roman"/>
                <w:b/>
                <w:bCs/>
                <w:sz w:val="24"/>
                <w:szCs w:val="24"/>
              </w:rPr>
              <w:t>2. Importance of Compliance in Cloud Environments</w:t>
            </w:r>
          </w:p>
          <w:p>
            <w:pPr>
              <w:spacing w:before="80" w:after="120" w:line="360" w:lineRule="auto"/>
            </w:pPr>
            <w:r>
              <w:rPr>
                <w:rFonts w:ascii="Times New Roman" w:hAnsi="Times New Roman" w:cs="Times New Roman"/>
                <w:sz w:val="24"/>
                <w:szCs w:val="24"/>
              </w:rPr>
              <w:t>Compliance ensures that cloud systems align with institutional rules and external standards. Examples include ISO 27001 for information security management, PCI DSS concepts for payment environments, GDPR principles for personal data protection, and internal governance controls used by enterprises and educational institutions. Even when an organization is not directly implementing a formal standard in a laboratory environment, its cloud architecture should still reflect secure and auditable design principles.</w:t>
            </w:r>
          </w:p>
          <w:p>
            <w:pPr>
              <w:spacing w:before="80" w:after="120" w:line="360" w:lineRule="auto"/>
            </w:pPr>
            <w:r>
              <w:rPr>
                <w:rFonts w:ascii="Times New Roman" w:hAnsi="Times New Roman" w:cs="Times New Roman"/>
                <w:sz w:val="24"/>
                <w:szCs w:val="24"/>
              </w:rPr>
              <w:t>Compliance is therefore closely connected to evidence. It is not enough to say that a system is secure. There must be proof of access control, proof of encryption, proof of monitoring, proof of remediation, and proof that security events can be investigated. AWS supports this approach by providing visibility tools, service configuration controls, and logs that can be used to demonstrate due diligence.</w:t>
            </w:r>
          </w:p>
          <w:p>
            <w:pPr>
              <w:spacing w:before="80" w:after="120" w:line="360" w:lineRule="auto"/>
            </w:pPr>
            <w:r>
              <w:rPr>
                <w:rFonts w:ascii="Times New Roman" w:hAnsi="Times New Roman" w:cs="Times New Roman"/>
                <w:b/>
                <w:bCs/>
                <w:sz w:val="24"/>
                <w:szCs w:val="24"/>
              </w:rPr>
              <w:t>3. Shared Responsibility Model</w:t>
            </w:r>
          </w:p>
          <w:p>
            <w:pPr>
              <w:spacing w:before="80" w:after="120" w:line="360" w:lineRule="auto"/>
            </w:pPr>
            <w:r>
              <w:rPr>
                <w:rFonts w:ascii="Times New Roman" w:hAnsi="Times New Roman" w:cs="Times New Roman"/>
                <w:sz w:val="24"/>
                <w:szCs w:val="24"/>
              </w:rPr>
              <w:t>A foundational concept in AWS security is the shared responsibility model. AWS is responsible for security of the cloud, which includes physical data centers, hardware, networking backbone, and the managed infrastructure that runs AWS services. The customer is responsible for security in the cloud, which includes user management, role permissions, network configuration, data encryption choices, logging, workload protection, and correct service configuration.</w:t>
            </w:r>
          </w:p>
          <w:p>
            <w:pPr>
              <w:spacing w:before="80" w:after="120" w:line="360" w:lineRule="auto"/>
            </w:pPr>
            <w:r>
              <w:rPr>
                <w:rFonts w:ascii="Times New Roman" w:hAnsi="Times New Roman" w:cs="Times New Roman"/>
                <w:sz w:val="24"/>
                <w:szCs w:val="24"/>
              </w:rPr>
              <w:t>This model is extremely important in privacy and compliance analysis because many failures occur not because the cloud platform is insecure, but because customer-side settings are incomplete, overly permissive, or not monitored. As a result, a privacy-aware and compliance-aware cloud practitioner must understand where AWS responsibility ends and customer responsibility begins.</w:t>
            </w:r>
          </w:p>
          <w:p>
            <w:pPr>
              <w:spacing w:before="80" w:after="120" w:line="360" w:lineRule="auto"/>
            </w:pPr>
            <w:r>
              <w:rPr>
                <w:rFonts w:ascii="Times New Roman" w:hAnsi="Times New Roman" w:cs="Times New Roman"/>
                <w:b/>
                <w:bCs/>
                <w:sz w:val="24"/>
                <w:szCs w:val="24"/>
              </w:rPr>
              <w:t>4. Identity and Access Control</w:t>
            </w:r>
          </w:p>
          <w:p>
            <w:pPr>
              <w:spacing w:before="80" w:after="120" w:line="360" w:lineRule="auto"/>
            </w:pPr>
            <w:r>
              <w:rPr>
                <w:rFonts w:ascii="Times New Roman" w:hAnsi="Times New Roman" w:cs="Times New Roman"/>
                <w:sz w:val="24"/>
                <w:szCs w:val="24"/>
              </w:rPr>
              <w:t>Identity and access management is the first layer of privacy protection in any cloud environment. AWS Identity and Access Management enables the creation of users, groups, roles, and policies that define what actions are permitted on which resources. Good IAM design reduces the possibility of excessive privilege, privilege abuse, accidental misconfiguration, and unauthorized access to sensitive data.</w:t>
            </w:r>
          </w:p>
          <w:p>
            <w:pPr>
              <w:spacing w:before="80" w:after="120" w:line="360" w:lineRule="auto"/>
            </w:pPr>
            <w:r>
              <w:rPr>
                <w:rFonts w:ascii="Times New Roman" w:hAnsi="Times New Roman" w:cs="Times New Roman"/>
                <w:sz w:val="24"/>
                <w:szCs w:val="24"/>
              </w:rPr>
              <w:t>Policies in AWS may be identity-based or resource-based. Identity-based policies are attached to users, groups, or roles and define what those identities can do. Resource-based policies are attached to the resources themselves, such as Amazon S3 buckets, and define who can access those resources. The interaction between these policy types is a key aspect of privacy-aware access governance.</w:t>
            </w:r>
          </w:p>
          <w:p>
            <w:pPr>
              <w:spacing w:before="80" w:after="120" w:line="360" w:lineRule="auto"/>
            </w:pPr>
            <w:r>
              <w:rPr>
                <w:rFonts w:ascii="Times New Roman" w:hAnsi="Times New Roman" w:cs="Times New Roman"/>
                <w:b/>
                <w:bCs/>
                <w:sz w:val="24"/>
                <w:szCs w:val="24"/>
              </w:rPr>
              <w:t>5. Infrastructure Security and Segmentation</w:t>
            </w:r>
          </w:p>
          <w:p>
            <w:pPr>
              <w:spacing w:before="80" w:after="120" w:line="360" w:lineRule="auto"/>
            </w:pPr>
            <w:r>
              <w:rPr>
                <w:rFonts w:ascii="Times New Roman" w:hAnsi="Times New Roman" w:cs="Times New Roman"/>
                <w:sz w:val="24"/>
                <w:szCs w:val="24"/>
              </w:rPr>
              <w:t>A privacy-sensitive cloud system must also control how workloads communicate over the network. Amazon VPC allows cloud deployments to be logically isolated. Public subnets can host externally reachable resources, while private subnets can protect internal application and database components. Security groups operate as stateful virtual firewalls, and network ACLs provide an additional stateless filtering layer. Together, these controls reduce exposure and help satisfy security architecture expectations that are commonly associated with compliance frameworks.</w:t>
            </w:r>
          </w:p>
          <w:p>
            <w:pPr>
              <w:spacing w:before="80" w:after="120" w:line="360" w:lineRule="auto"/>
            </w:pPr>
            <w:r>
              <w:rPr>
                <w:rFonts w:ascii="Times New Roman" w:hAnsi="Times New Roman" w:cs="Times New Roman"/>
                <w:sz w:val="24"/>
                <w:szCs w:val="24"/>
              </w:rPr>
              <w:t>Network design is especially important when applications process regulated or confidential information. Proper segmentation ensures that sensitive resources are not directly exposed to the internet and that only approved traffic flows between system layers.</w:t>
            </w:r>
          </w:p>
          <w:p>
            <w:pPr>
              <w:spacing w:before="80" w:after="120" w:line="360" w:lineRule="auto"/>
            </w:pPr>
            <w:r>
              <w:rPr>
                <w:rFonts w:ascii="Times New Roman" w:hAnsi="Times New Roman" w:cs="Times New Roman"/>
                <w:b/>
                <w:bCs/>
                <w:sz w:val="24"/>
                <w:szCs w:val="24"/>
              </w:rPr>
              <w:t>6. Data Protection Through Encryption</w:t>
            </w:r>
          </w:p>
          <w:p>
            <w:pPr>
              <w:spacing w:before="80" w:after="120" w:line="360" w:lineRule="auto"/>
            </w:pPr>
            <w:r>
              <w:rPr>
                <w:rFonts w:ascii="Times New Roman" w:hAnsi="Times New Roman" w:cs="Times New Roman"/>
                <w:sz w:val="24"/>
                <w:szCs w:val="24"/>
              </w:rPr>
              <w:t>Data protection is central to both privacy and compliance. In AWS, protection of data at rest can be achieved using encryption features in services such as Amazon S3 and AWS KMS. Data in transit is protected using secure communication protocols such as TLS. Encryption reduces the risk of data leakage and supports regulatory expectations for confidentiality and secure storage practices.</w:t>
            </w:r>
          </w:p>
          <w:p>
            <w:pPr>
              <w:spacing w:before="80" w:after="120" w:line="360" w:lineRule="auto"/>
            </w:pPr>
            <w:r>
              <w:rPr>
                <w:rFonts w:ascii="Times New Roman" w:hAnsi="Times New Roman" w:cs="Times New Roman"/>
                <w:sz w:val="24"/>
                <w:szCs w:val="24"/>
              </w:rPr>
              <w:t>Key management is equally important. Strong encryption without proper key governance may still leave security gaps. AWS KMS provides a controlled approach to creating, storing, rotating, and using cryptographic keys. This makes encryption not only technically effective but also operationally manageable.</w:t>
            </w:r>
          </w:p>
          <w:p>
            <w:pPr>
              <w:spacing w:before="80" w:after="120" w:line="360" w:lineRule="auto"/>
            </w:pPr>
            <w:r>
              <w:rPr>
                <w:rFonts w:ascii="Times New Roman" w:hAnsi="Times New Roman" w:cs="Times New Roman"/>
                <w:b/>
                <w:bCs/>
                <w:sz w:val="24"/>
                <w:szCs w:val="24"/>
              </w:rPr>
              <w:t>7. Logging, Monitoring, and Audit Readiness</w:t>
            </w:r>
          </w:p>
          <w:p>
            <w:pPr>
              <w:spacing w:before="80" w:after="120" w:line="360" w:lineRule="auto"/>
            </w:pPr>
            <w:r>
              <w:rPr>
                <w:rFonts w:ascii="Times New Roman" w:hAnsi="Times New Roman" w:cs="Times New Roman"/>
                <w:sz w:val="24"/>
                <w:szCs w:val="24"/>
              </w:rPr>
              <w:t>Privacy and compliance depend on visibility. AWS CloudTrail records API activity, Amazon CloudWatch provides monitoring and alarms, and Security Hub centralizes security findings. These services help identify suspicious actions, configuration drift, unusual access patterns, and operational failures. More importantly, they create evidence that can be used during audits, reviews, and incident investigations.</w:t>
            </w:r>
          </w:p>
          <w:p>
            <w:pPr>
              <w:spacing w:before="80" w:after="120" w:line="360" w:lineRule="auto"/>
            </w:pPr>
            <w:r>
              <w:rPr>
                <w:rFonts w:ascii="Times New Roman" w:hAnsi="Times New Roman" w:cs="Times New Roman"/>
                <w:sz w:val="24"/>
                <w:szCs w:val="24"/>
              </w:rPr>
              <w:t>Without logging and monitoring, organizations may have security controls configured but no way to prove whether those controls are functioning correctly. Logging therefore supports both technical defense and compliance reporting.</w:t>
            </w:r>
          </w:p>
          <w:p>
            <w:pPr>
              <w:spacing w:before="80" w:after="120" w:line="360" w:lineRule="auto"/>
            </w:pPr>
            <w:r>
              <w:rPr>
                <w:rFonts w:ascii="Times New Roman" w:hAnsi="Times New Roman" w:cs="Times New Roman"/>
                <w:b/>
                <w:bCs/>
                <w:sz w:val="24"/>
                <w:szCs w:val="24"/>
              </w:rPr>
              <w:t>8. Configuration Assessment and Incident Remediation</w:t>
            </w:r>
          </w:p>
          <w:p>
            <w:pPr>
              <w:spacing w:before="80" w:after="120" w:line="360" w:lineRule="auto"/>
            </w:pPr>
            <w:r>
              <w:rPr>
                <w:rFonts w:ascii="Times New Roman" w:hAnsi="Times New Roman" w:cs="Times New Roman"/>
                <w:sz w:val="24"/>
                <w:szCs w:val="24"/>
              </w:rPr>
              <w:t>AWS Config enables organizations to track configuration history and evaluate resources against defined rules. AWS Lambda can be integrated with detection services to automate corrective actions when a configuration becomes non-compliant. This strengthens compliance by reducing the duration of insecure states and demonstrating operational maturity.</w:t>
            </w:r>
          </w:p>
          <w:p>
            <w:pPr>
              <w:spacing w:before="80" w:after="120" w:line="360" w:lineRule="auto"/>
            </w:pPr>
            <w:r>
              <w:rPr>
                <w:rFonts w:ascii="Times New Roman" w:hAnsi="Times New Roman" w:cs="Times New Roman"/>
                <w:sz w:val="24"/>
                <w:szCs w:val="24"/>
              </w:rPr>
              <w:t>Incident response is also a major compliance consideration. Rapid identification, containment, recovery, and documentation of incidents reduce the impact of security events and help maintain trust in the organization?s cloud operations.</w:t>
            </w:r>
          </w:p>
          <w:p>
            <w:pPr>
              <w:spacing w:before="80" w:after="120" w:line="360" w:lineRule="auto"/>
            </w:pPr>
            <w:r>
              <w:rPr>
                <w:rFonts w:ascii="Times New Roman" w:hAnsi="Times New Roman" w:cs="Times New Roman"/>
                <w:b/>
                <w:bCs/>
                <w:sz w:val="24"/>
                <w:szCs w:val="24"/>
              </w:rPr>
              <w:t>9. Relevance of the AWS Academy Cloud Security Foundations Modules</w:t>
            </w:r>
          </w:p>
          <w:p>
            <w:pPr>
              <w:spacing w:before="80" w:after="120" w:line="360" w:lineRule="auto"/>
            </w:pPr>
            <w:r>
              <w:rPr>
                <w:rFonts w:ascii="Times New Roman" w:hAnsi="Times New Roman" w:cs="Times New Roman"/>
                <w:sz w:val="24"/>
                <w:szCs w:val="24"/>
              </w:rPr>
              <w:t>The AWS Academy Cloud Security Foundations environment provides a structured learning path that directly supports this case study. Module 3 demonstrates access governance through IAM and policy control. Module 4 demonstrates secure infrastructure design through VPC and traffic restrictions. Module 5 focuses on encryption and storage protection. Module 6 highlights logging, monitoring, and alerting. Module 7 addresses configuration enforcement and incident remediation. Collectively, these modules represent a practical model of how privacy and compliance can be maintained in a cloud environment.</w:t>
            </w:r>
          </w:p>
          <w:p>
            <w:pPr>
              <w:spacing w:before="80" w:after="120" w:line="360" w:lineRule="auto"/>
            </w:pPr>
            <w:r>
              <w:rPr>
                <w:rFonts w:ascii="Times New Roman" w:hAnsi="Times New Roman" w:cs="Times New Roman"/>
                <w:b/>
                <w:bCs/>
                <w:sz w:val="24"/>
                <w:szCs w:val="24"/>
              </w:rPr>
              <w:t>10. Technical Interpretation of the Case Study</w:t>
            </w:r>
          </w:p>
          <w:p>
            <w:pPr>
              <w:spacing w:before="80" w:after="120" w:line="360" w:lineRule="auto"/>
            </w:pPr>
            <w:r>
              <w:rPr>
                <w:rFonts w:ascii="Times New Roman" w:hAnsi="Times New Roman" w:cs="Times New Roman"/>
                <w:sz w:val="24"/>
                <w:szCs w:val="24"/>
              </w:rPr>
              <w:t>From a technical perspective, the case study shows that privacy and compliance are not separate goals. They reinforce each other. Access control protects data from unauthorized users. Segmentation reduces attack surface. Encryption protects stored and transmitted information. Logs provide accountability. Monitoring enables timely detection. Config-based checks and Lambda-driven remediation reduce policy violations. This layered approach is exactly what makes a cloud environment both secure and compliant.</w:t>
            </w:r>
          </w:p>
        </w:tc>
      </w:tr>
      <w:tr w:rsidR="00D12040" w14:paraId="7AE8D55F" w14:textId="77777777" w:rsidTr="00EA63BE">
        <w:trPr>
          <w:trHeight w:val="5140"/>
        </w:trPr>
        <w:tc>
          <w:tcPr>
            <w:tcW w:w="1364" w:type="dxa"/>
          </w:tcPr>
          <w:p w14:paraId="1F520BDC" w14:textId="77777777" w:rsidR="00D12040" w:rsidRDefault="00D12040" w:rsidP="00D12040">
            <w:pPr>
              <w:ind w:right="-675"/>
              <w:rPr>
                <w:rFonts w:ascii="Times New Roman" w:hAnsi="Times New Roman" w:cs="Times New Roman"/>
                <w:b/>
                <w:bCs/>
                <w:sz w:val="24"/>
                <w:szCs w:val="24"/>
              </w:rPr>
            </w:pPr>
          </w:p>
          <w:p w14:paraId="514E8776" w14:textId="0A9E83AB" w:rsidR="00D12040" w:rsidRDefault="00D12040" w:rsidP="00D12040">
            <w:pPr>
              <w:ind w:right="-675"/>
              <w:rPr>
                <w:rFonts w:ascii="Times New Roman" w:hAnsi="Times New Roman" w:cs="Times New Roman"/>
                <w:b/>
                <w:bCs/>
                <w:sz w:val="24"/>
                <w:szCs w:val="24"/>
              </w:rPr>
            </w:pPr>
            <w:r>
              <w:rPr>
                <w:rFonts w:ascii="Times New Roman" w:hAnsi="Times New Roman" w:cs="Times New Roman"/>
                <w:b/>
                <w:bCs/>
                <w:sz w:val="24"/>
                <w:szCs w:val="24"/>
              </w:rPr>
              <w:t>Implement</w:t>
            </w:r>
          </w:p>
          <w:p w14:paraId="0F33CCEB" w14:textId="4CAF8DB6" w:rsidR="00D12040" w:rsidRDefault="00D12040" w:rsidP="00D12040">
            <w:pPr>
              <w:rPr>
                <w:rFonts w:ascii="Times New Roman" w:hAnsi="Times New Roman" w:cs="Times New Roman"/>
                <w:b/>
                <w:bCs/>
                <w:sz w:val="24"/>
                <w:szCs w:val="24"/>
              </w:rPr>
            </w:pPr>
            <w:r>
              <w:rPr>
                <w:rFonts w:ascii="Times New Roman" w:hAnsi="Times New Roman" w:cs="Times New Roman"/>
                <w:b/>
                <w:bCs/>
                <w:sz w:val="24"/>
                <w:szCs w:val="24"/>
              </w:rPr>
              <w:t>-</w:t>
            </w:r>
            <w:proofErr w:type="spellStart"/>
            <w:r>
              <w:rPr>
                <w:rFonts w:ascii="Times New Roman" w:hAnsi="Times New Roman" w:cs="Times New Roman"/>
                <w:b/>
                <w:bCs/>
                <w:sz w:val="24"/>
                <w:szCs w:val="24"/>
              </w:rPr>
              <w:t>ations</w:t>
            </w:r>
            <w:proofErr w:type="spellEnd"/>
          </w:p>
        </w:tc>
        <w:tc>
          <w:tcPr>
            <w:tcW w:w="8701" w:type="dxa"/>
          </w:tcPr>
          <w:p>
            <w:pPr>
              <w:spacing w:before="80" w:after="120" w:line="360" w:lineRule="auto"/>
            </w:pPr>
            <w:r>
              <w:rPr>
                <w:rFonts w:ascii="Times New Roman" w:hAnsi="Times New Roman" w:cs="Times New Roman"/>
                <w:sz w:val="24"/>
                <w:szCs w:val="24"/>
              </w:rPr>
              <w:t>Step 1: Open the AWS Academy Cloud Security Foundations course dashboard and review the complete index of available modules, labs, and supporting materials related to cloud security and privacy.</w:t>
            </w:r>
          </w:p>
          <w:p>
            <w:pPr>
              <w:spacing w:before="80" w:after="120" w:line="360" w:lineRule="auto"/>
            </w:pPr>
            <w:r>
              <w:rPr>
                <w:rFonts w:ascii="Times New Roman" w:hAnsi="Times New Roman" w:cs="Times New Roman"/>
                <w:sz w:val="24"/>
                <w:szCs w:val="24"/>
              </w:rPr>
              <w:t>Step 2: Identify the focus of the case study as Privacy and Compliance Analysis in Cloud Environments. Define the major analysis categories as identity management, infrastructure protection, data protection, monitoring, audit readiness, and incident response.</w:t>
            </w:r>
          </w:p>
          <w:p>
            <w:pPr>
              <w:spacing w:before="80" w:after="120" w:line="360" w:lineRule="auto"/>
            </w:pPr>
            <w:r>
              <w:rPr>
                <w:rFonts w:ascii="Times New Roman" w:hAnsi="Times New Roman" w:cs="Times New Roman"/>
                <w:sz w:val="24"/>
                <w:szCs w:val="24"/>
              </w:rPr>
              <w:t>Step 3: Open Module 3: Securing Access to Cloud Resources. Carefully review IAM fundamentals, methods of authentication, methods of authorization, examples of IAM-based access decisions, and the use of AWS Organizations.</w:t>
            </w:r>
          </w:p>
          <w:p>
            <w:pPr>
              <w:spacing w:before="80" w:after="120" w:line="360" w:lineRule="auto"/>
            </w:pPr>
            <w:r>
              <w:rPr>
                <w:rFonts w:ascii="Times New Roman" w:hAnsi="Times New Roman" w:cs="Times New Roman"/>
                <w:sz w:val="24"/>
                <w:szCs w:val="24"/>
              </w:rPr>
              <w:t>Step 4: Record how IAM users, groups, roles, and policies can restrict or permit access to cloud resources. Note that privacy begins with limiting who can view, modify, or delete data and services.</w:t>
            </w:r>
          </w:p>
          <w:p>
            <w:pPr>
              <w:spacing w:before="80" w:after="120" w:line="360" w:lineRule="auto"/>
            </w:pPr>
            <w:r>
              <w:rPr>
                <w:rFonts w:ascii="Times New Roman" w:hAnsi="Times New Roman" w:cs="Times New Roman"/>
                <w:sz w:val="24"/>
                <w:szCs w:val="24"/>
              </w:rPr>
              <w:t>Step 5: Open Lab 3.1: Using Resource-Based Policies to Secure an S3 Bucket. Study the interaction between identity-based policies and resource-based policies. Observe how controlled bucket access directly contributes to data privacy and controlled information sharing.</w:t>
            </w:r>
          </w:p>
          <w:p>
            <w:pPr>
              <w:spacing w:before="80" w:after="120" w:line="360" w:lineRule="auto"/>
            </w:pPr>
            <w:r>
              <w:rPr>
                <w:rFonts w:ascii="Times New Roman" w:hAnsi="Times New Roman" w:cs="Times New Roman"/>
                <w:sz w:val="24"/>
                <w:szCs w:val="24"/>
              </w:rPr>
              <w:t>Step 6: Analyze how role assumption can provide temporary access. Interpret this as an example of controlled privilege elevation, which is important in secure enterprise environments where long-term excessive access must be avoided.</w:t>
            </w:r>
          </w:p>
          <w:p>
            <w:pPr>
              <w:spacing w:before="80" w:after="120" w:line="360" w:lineRule="auto"/>
            </w:pPr>
            <w:r>
              <w:rPr>
                <w:rFonts w:ascii="Times New Roman" w:hAnsi="Times New Roman" w:cs="Times New Roman"/>
                <w:sz w:val="24"/>
                <w:szCs w:val="24"/>
              </w:rPr>
              <w:t>Step 7: Open Module 4: Securing Your Infrastructure. Review the topics on VPC design, public and private subnets, internet routing, security groups, network ACLs, and load balancers.</w:t>
            </w:r>
          </w:p>
          <w:p>
            <w:pPr>
              <w:spacing w:before="80" w:after="120" w:line="360" w:lineRule="auto"/>
            </w:pPr>
            <w:r>
              <w:rPr>
                <w:rFonts w:ascii="Times New Roman" w:hAnsi="Times New Roman" w:cs="Times New Roman"/>
                <w:sz w:val="24"/>
                <w:szCs w:val="24"/>
              </w:rPr>
              <w:t>Step 8: Observe how secure infrastructure design reduces risk. Note that private subnets, restricted ports, and controlled traffic flows help prevent direct exposure of sensitive systems to external networks.</w:t>
            </w:r>
          </w:p>
          <w:p>
            <w:pPr>
              <w:spacing w:before="80" w:after="120" w:line="360" w:lineRule="auto"/>
            </w:pPr>
            <w:r>
              <w:rPr>
                <w:rFonts w:ascii="Times New Roman" w:hAnsi="Times New Roman" w:cs="Times New Roman"/>
                <w:sz w:val="24"/>
                <w:szCs w:val="24"/>
              </w:rPr>
              <w:t>Step 9: Open Lab 4.1: Securing VPC Resources by Using Security Groups. Review the security group rules and analyze how inbound and outbound filtering contributes to infrastructure-level compliance and secure architecture design.</w:t>
            </w:r>
          </w:p>
          <w:p>
            <w:pPr>
              <w:spacing w:before="80" w:after="120" w:line="360" w:lineRule="auto"/>
            </w:pPr>
            <w:r>
              <w:rPr>
                <w:rFonts w:ascii="Times New Roman" w:hAnsi="Times New Roman" w:cs="Times New Roman"/>
                <w:sz w:val="24"/>
                <w:szCs w:val="24"/>
              </w:rPr>
              <w:t>Step 10: Open Module 5: Protecting Data in Your Application. Study the topics related to protection of data at rest, Amazon S3 security features, AWS KMS encryption, protection of data in transit, and recommended best practices for S3.</w:t>
            </w:r>
          </w:p>
          <w:p>
            <w:pPr>
              <w:spacing w:before="80" w:after="120" w:line="360" w:lineRule="auto"/>
            </w:pPr>
            <w:r>
              <w:rPr>
                <w:rFonts w:ascii="Times New Roman" w:hAnsi="Times New Roman" w:cs="Times New Roman"/>
                <w:sz w:val="24"/>
                <w:szCs w:val="24"/>
              </w:rPr>
              <w:t>Step 11: Identify how encryption supports privacy obligations. Note that when data is encrypted and keys are properly managed, the likelihood of meaningful exposure is reduced even if unauthorized access to storage occurs.</w:t>
            </w:r>
          </w:p>
          <w:p>
            <w:pPr>
              <w:spacing w:before="80" w:after="120" w:line="360" w:lineRule="auto"/>
            </w:pPr>
            <w:r>
              <w:rPr>
                <w:rFonts w:ascii="Times New Roman" w:hAnsi="Times New Roman" w:cs="Times New Roman"/>
                <w:sz w:val="24"/>
                <w:szCs w:val="24"/>
              </w:rPr>
              <w:t>Step 12: Open Lab 5.1: Encrypting Data at Rest by Using AWS KMS. Analyze how KMS integrates with data storage services and how controlled use of cryptographic keys supports secure storage and compliance reporting.</w:t>
            </w:r>
          </w:p>
          <w:p>
            <w:pPr>
              <w:spacing w:before="80" w:after="120" w:line="360" w:lineRule="auto"/>
            </w:pPr>
            <w:r>
              <w:rPr>
                <w:rFonts w:ascii="Times New Roman" w:hAnsi="Times New Roman" w:cs="Times New Roman"/>
                <w:sz w:val="24"/>
                <w:szCs w:val="24"/>
              </w:rPr>
              <w:t>Step 13: Open Module 6: Logging and Monitoring. Review the importance of capture and collect, AWS services with built-in logs, monitoring and reporting mechanisms, and best practices for logging and monitoring in AWS.</w:t>
            </w:r>
          </w:p>
          <w:p>
            <w:pPr>
              <w:spacing w:before="80" w:after="120" w:line="360" w:lineRule="auto"/>
            </w:pPr>
            <w:r>
              <w:rPr>
                <w:rFonts w:ascii="Times New Roman" w:hAnsi="Times New Roman" w:cs="Times New Roman"/>
                <w:sz w:val="24"/>
                <w:szCs w:val="24"/>
              </w:rPr>
              <w:t>Step 14: Study AWS CloudTrail, Amazon CloudWatch, and Security Hub in the context of compliance. Note that these services provide evidence, alerting, visibility, and centralized findings that are essential for audit readiness and operational oversight.</w:t>
            </w:r>
          </w:p>
          <w:p>
            <w:pPr>
              <w:spacing w:before="80" w:after="120" w:line="360" w:lineRule="auto"/>
            </w:pPr>
            <w:r>
              <w:rPr>
                <w:rFonts w:ascii="Times New Roman" w:hAnsi="Times New Roman" w:cs="Times New Roman"/>
                <w:sz w:val="24"/>
                <w:szCs w:val="24"/>
              </w:rPr>
              <w:t>Step 15: Open Lab 6.1: Monitoring and Alerting with CloudTrail and CloudWatch. Observe how AWS API actions are logged and how alerts can be generated when specific activities or thresholds are detected.</w:t>
            </w:r>
          </w:p>
          <w:p>
            <w:pPr>
              <w:spacing w:before="80" w:after="120" w:line="360" w:lineRule="auto"/>
            </w:pPr>
            <w:r>
              <w:rPr>
                <w:rFonts w:ascii="Times New Roman" w:hAnsi="Times New Roman" w:cs="Times New Roman"/>
                <w:sz w:val="24"/>
                <w:szCs w:val="24"/>
              </w:rPr>
              <w:t>Step 16: Connect these monitoring capabilities to compliance requirements by noting that organizations must often prove who performed an action, when the action took place, and whether unusual activity was detected.</w:t>
            </w:r>
          </w:p>
          <w:p>
            <w:pPr>
              <w:spacing w:before="80" w:after="120" w:line="360" w:lineRule="auto"/>
            </w:pPr>
            <w:r>
              <w:rPr>
                <w:rFonts w:ascii="Times New Roman" w:hAnsi="Times New Roman" w:cs="Times New Roman"/>
                <w:sz w:val="24"/>
                <w:szCs w:val="24"/>
              </w:rPr>
              <w:t>Step 17: Open Module 7: Responding to and Managing an Incident. Review the stages of identifying incidents, supporting discovery and recognition, performing resolution and recovery, and following best practices for incident handling.</w:t>
            </w:r>
          </w:p>
          <w:p>
            <w:pPr>
              <w:spacing w:before="80" w:after="120" w:line="360" w:lineRule="auto"/>
            </w:pPr>
            <w:r>
              <w:rPr>
                <w:rFonts w:ascii="Times New Roman" w:hAnsi="Times New Roman" w:cs="Times New Roman"/>
                <w:sz w:val="24"/>
                <w:szCs w:val="24"/>
              </w:rPr>
              <w:t>Step 18: Open Lab 7.1: Remediating an Incident by Using AWS Config and Lambda. Examine how non-compliant or insecure configurations can be detected and corrected automatically.</w:t>
            </w:r>
          </w:p>
          <w:p>
            <w:pPr>
              <w:spacing w:before="80" w:after="120" w:line="360" w:lineRule="auto"/>
            </w:pPr>
            <w:r>
              <w:rPr>
                <w:rFonts w:ascii="Times New Roman" w:hAnsi="Times New Roman" w:cs="Times New Roman"/>
                <w:sz w:val="24"/>
                <w:szCs w:val="24"/>
              </w:rPr>
              <w:t>Step 19: Analyze the value of AWS Config in maintaining a historical record of configuration state and compare this to compliance expectations where systems must remain aligned with approved security baselines.</w:t>
            </w:r>
          </w:p>
          <w:p>
            <w:pPr>
              <w:spacing w:before="80" w:after="120" w:line="360" w:lineRule="auto"/>
            </w:pPr>
            <w:r>
              <w:rPr>
                <w:rFonts w:ascii="Times New Roman" w:hAnsi="Times New Roman" w:cs="Times New Roman"/>
                <w:sz w:val="24"/>
                <w:szCs w:val="24"/>
              </w:rPr>
              <w:t>Step 20: Analyze the value of AWS Lambda in automated remediation. Note that automation minimizes the time during which a misconfiguration can expose systems or data to unnecessary risk.</w:t>
            </w:r>
          </w:p>
          <w:p>
            <w:pPr>
              <w:spacing w:before="80" w:after="120" w:line="360" w:lineRule="auto"/>
            </w:pPr>
            <w:r>
              <w:rPr>
                <w:rFonts w:ascii="Times New Roman" w:hAnsi="Times New Roman" w:cs="Times New Roman"/>
                <w:sz w:val="24"/>
                <w:szCs w:val="24"/>
              </w:rPr>
              <w:t>Step 21: Prepare a mapping of the observed AWS services to privacy and compliance controls. Map IAM to access governance, VPC and security groups to segmentation, S3 and KMS to data protection, CloudTrail and CloudWatch to accountability, Config to configuration compliance, Security Hub to centralized visibility, and Lambda to corrective action.</w:t>
            </w:r>
          </w:p>
          <w:p>
            <w:pPr>
              <w:spacing w:before="80" w:after="120" w:line="360" w:lineRule="auto"/>
            </w:pPr>
            <w:r>
              <w:rPr>
                <w:rFonts w:ascii="Times New Roman" w:hAnsi="Times New Roman" w:cs="Times New Roman"/>
                <w:sz w:val="24"/>
                <w:szCs w:val="24"/>
              </w:rPr>
              <w:t>Step 22: Summarize the findings in a lab record by explaining how the modules collectively demonstrate a layered security architecture that supports confidentiality, integrity, availability, accountability, and continuous compliance.</w:t>
            </w:r>
          </w:p>
          <w:p>
            <w:pPr>
              <w:spacing w:before="80" w:after="120" w:line="360" w:lineRule="auto"/>
            </w:pPr>
            <w:r>
              <w:rPr>
                <w:rFonts w:ascii="Times New Roman" w:hAnsi="Times New Roman" w:cs="Times New Roman"/>
                <w:sz w:val="24"/>
                <w:szCs w:val="24"/>
              </w:rPr>
              <w:t>Step 23: Review the case study from an academic perspective by highlighting concepts, definitions, and security principles. Then review it from a practical perspective by highlighting exact AWS services, controls, and lab activities. This merged interpretation makes the manual both informative and presentation-ready.</w:t>
            </w:r>
          </w:p>
        </w:tc>
      </w:tr>
      <w:tr w:rsidR="005B461A" w14:paraId="1C56DB8D" w14:textId="77777777" w:rsidTr="00EA63BE">
        <w:trPr>
          <w:trHeight w:val="1405"/>
        </w:trPr>
        <w:tc>
          <w:tcPr>
            <w:tcW w:w="1364" w:type="dxa"/>
          </w:tcPr>
          <w:p w14:paraId="08A90FE3" w14:textId="77777777" w:rsidR="00782C31" w:rsidRDefault="00782C31">
            <w:pPr>
              <w:rPr>
                <w:rFonts w:ascii="Times New Roman" w:hAnsi="Times New Roman" w:cs="Times New Roman"/>
                <w:b/>
                <w:bCs/>
                <w:sz w:val="24"/>
                <w:szCs w:val="24"/>
              </w:rPr>
            </w:pPr>
          </w:p>
          <w:p w14:paraId="0040B2F6" w14:textId="42747493" w:rsidR="005B461A" w:rsidRPr="00A42B1B" w:rsidRDefault="00725A01">
            <w:pPr>
              <w:rPr>
                <w:rFonts w:ascii="Times New Roman" w:hAnsi="Times New Roman" w:cs="Times New Roman"/>
                <w:b/>
                <w:bCs/>
                <w:sz w:val="24"/>
                <w:szCs w:val="24"/>
              </w:rPr>
            </w:pPr>
            <w:r w:rsidRPr="00A42B1B">
              <w:rPr>
                <w:rFonts w:ascii="Times New Roman" w:hAnsi="Times New Roman" w:cs="Times New Roman"/>
                <w:b/>
                <w:bCs/>
                <w:sz w:val="24"/>
                <w:szCs w:val="24"/>
              </w:rPr>
              <w:t>Output</w:t>
            </w:r>
          </w:p>
        </w:tc>
        <w:tc>
          <w:tcPr>
            <w:tcW w:w="8701" w:type="dxa"/>
          </w:tcPr>
          <w:p>
            <w:pPr>
              <w:spacing w:before="80" w:after="120" w:line="360" w:lineRule="auto"/>
            </w:pPr>
            <w:r>
              <w:rPr>
                <w:rFonts w:ascii="Times New Roman" w:hAnsi="Times New Roman" w:cs="Times New Roman"/>
                <w:b/>
                <w:bCs/>
                <w:sz w:val="24"/>
                <w:szCs w:val="24"/>
              </w:rPr>
              <w:t>Expected Output / Observation:</w:t>
            </w:r>
          </w:p>
          <w:p>
            <w:pPr>
              <w:spacing w:before="80" w:after="120" w:line="360" w:lineRule="auto"/>
            </w:pPr>
            <w:r>
              <w:rPr>
                <w:rFonts w:ascii="Times New Roman" w:hAnsi="Times New Roman" w:cs="Times New Roman"/>
                <w:sz w:val="24"/>
                <w:szCs w:val="24"/>
              </w:rPr>
              <w:t>1. The learner is able to explain privacy and compliance concepts in cloud computing with clear reference to AWS service-based controls.</w:t>
            </w:r>
          </w:p>
          <w:p>
            <w:pPr>
              <w:spacing w:before="80" w:after="120" w:line="360" w:lineRule="auto"/>
            </w:pPr>
            <w:r>
              <w:rPr>
                <w:rFonts w:ascii="Times New Roman" w:hAnsi="Times New Roman" w:cs="Times New Roman"/>
                <w:sz w:val="24"/>
                <w:szCs w:val="24"/>
              </w:rPr>
              <w:t>2. The learner is able to identify how IAM, resource-based policies, VPC security, encryption, monitoring, and remediation contribute to a secure and compliant cloud environment.</w:t>
            </w:r>
          </w:p>
          <w:p>
            <w:pPr>
              <w:spacing w:before="80" w:after="120" w:line="360" w:lineRule="auto"/>
            </w:pPr>
            <w:r>
              <w:rPr>
                <w:rFonts w:ascii="Times New Roman" w:hAnsi="Times New Roman" w:cs="Times New Roman"/>
                <w:sz w:val="24"/>
                <w:szCs w:val="24"/>
              </w:rPr>
              <w:t>3. The learner is able to interpret the AWS Academy Cloud Security Foundations modules not merely as isolated labs, but as interconnected components of a complete cloud governance strategy.</w:t>
            </w:r>
          </w:p>
          <w:p>
            <w:pPr>
              <w:spacing w:before="80" w:after="120" w:line="360" w:lineRule="auto"/>
            </w:pPr>
            <w:r>
              <w:rPr>
                <w:rFonts w:ascii="Times New Roman" w:hAnsi="Times New Roman" w:cs="Times New Roman"/>
                <w:sz w:val="24"/>
                <w:szCs w:val="24"/>
              </w:rPr>
              <w:t>4. The learner is able to document how confidentiality is protected through access control and encryption, how accountability is enforced through logs and monitoring, and how compliance is strengthened through configuration tracking and corrective action.</w:t>
            </w:r>
          </w:p>
          <w:p>
            <w:pPr>
              <w:spacing w:before="80" w:after="120" w:line="360" w:lineRule="auto"/>
            </w:pPr>
            <w:r>
              <w:rPr>
                <w:rFonts w:ascii="Times New Roman" w:hAnsi="Times New Roman" w:cs="Times New Roman"/>
                <w:sz w:val="24"/>
                <w:szCs w:val="24"/>
              </w:rPr>
              <w:t>5. The learner is able to present a detailed case-study manual suitable for academic submission, viva discussion, and future practical reference.</w:t>
            </w:r>
          </w:p>
          <w:p>
            <w:pPr>
              <w:spacing w:before="80" w:after="120" w:line="360" w:lineRule="auto"/>
            </w:pPr>
            <w:r>
              <w:rPr>
                <w:rFonts w:ascii="Times New Roman" w:hAnsi="Times New Roman" w:cs="Times New Roman"/>
                <w:sz w:val="24"/>
                <w:szCs w:val="24"/>
              </w:rPr>
              <w:t>6. Screenshots from the relevant AWS Academy modules, labs, and console pages may be inserted in this section to further strengthen the practical evidence of analysis.</w:t>
            </w:r>
          </w:p>
        </w:tc>
      </w:tr>
      <w:tr w:rsidR="00725A01" w14:paraId="24E1C2D0" w14:textId="77777777" w:rsidTr="00EA63BE">
        <w:trPr>
          <w:trHeight w:val="1343"/>
        </w:trPr>
        <w:tc>
          <w:tcPr>
            <w:tcW w:w="1364" w:type="dxa"/>
          </w:tcPr>
          <w:p w14:paraId="7B6412E0" w14:textId="77777777" w:rsidR="00782C31" w:rsidRDefault="00782C31">
            <w:pPr>
              <w:rPr>
                <w:rFonts w:ascii="Times New Roman" w:hAnsi="Times New Roman" w:cs="Times New Roman"/>
                <w:b/>
                <w:bCs/>
                <w:sz w:val="24"/>
                <w:szCs w:val="24"/>
              </w:rPr>
            </w:pPr>
          </w:p>
          <w:p w14:paraId="1602293C" w14:textId="1D9BC1BC" w:rsidR="00725A01" w:rsidRPr="00A42B1B" w:rsidRDefault="00725A01">
            <w:pPr>
              <w:rPr>
                <w:rFonts w:ascii="Times New Roman" w:hAnsi="Times New Roman" w:cs="Times New Roman"/>
                <w:b/>
                <w:bCs/>
                <w:sz w:val="24"/>
                <w:szCs w:val="24"/>
              </w:rPr>
            </w:pPr>
            <w:r w:rsidRPr="00A42B1B">
              <w:rPr>
                <w:rFonts w:ascii="Times New Roman" w:hAnsi="Times New Roman" w:cs="Times New Roman"/>
                <w:b/>
                <w:bCs/>
                <w:sz w:val="24"/>
                <w:szCs w:val="24"/>
              </w:rPr>
              <w:t>Conclusion</w:t>
            </w:r>
          </w:p>
        </w:tc>
        <w:tc>
          <w:tcPr>
            <w:tcW w:w="8701" w:type="dxa"/>
          </w:tcPr>
          <w:p>
            <w:pPr>
              <w:spacing w:before="80" w:after="120" w:line="360" w:lineRule="auto"/>
            </w:pPr>
            <w:r>
              <w:rPr>
                <w:rFonts w:ascii="Times New Roman" w:hAnsi="Times New Roman" w:cs="Times New Roman"/>
                <w:sz w:val="24"/>
                <w:szCs w:val="24"/>
              </w:rPr>
              <w:t>This case study on Privacy and Compliance Analysis in Cloud Environments demonstrates that strong cloud governance is achieved through a balanced combination of conceptual understanding and practical control implementation. By studying the AWS Academy Cloud Security Foundations environment, we observed how privacy is preserved through restricted access, secure infrastructure, encryption, and controlled data handling, while compliance is strengthened through logging, monitoring, configuration assessment, and automated remediation.</w:t>
            </w:r>
          </w:p>
          <w:p>
            <w:pPr>
              <w:spacing w:before="80" w:after="120" w:line="360" w:lineRule="auto"/>
            </w:pPr>
            <w:r>
              <w:rPr>
                <w:rFonts w:ascii="Times New Roman" w:hAnsi="Times New Roman" w:cs="Times New Roman"/>
                <w:sz w:val="24"/>
                <w:szCs w:val="24"/>
              </w:rPr>
              <w:t>The study clearly shows that AWS provides a wide range of security services, but effective protection depends on how responsibly and correctly those services are configured by the customer under the shared responsibility model. Therefore, privacy and compliance in the cloud must be treated as continuous processes rather than one-time configurations. A layered and well-monitored AWS environment not only protects data and services, but also provides the visibility, accountability, and audit evidence required in modern cloud operations.</w:t>
            </w:r>
          </w:p>
          <w:p>
            <w:pPr>
              <w:spacing w:before="80" w:after="120" w:line="360" w:lineRule="auto"/>
            </w:pPr>
            <w:r>
              <w:rPr>
                <w:rFonts w:ascii="Times New Roman" w:hAnsi="Times New Roman" w:cs="Times New Roman"/>
                <w:sz w:val="24"/>
                <w:szCs w:val="24"/>
              </w:rPr>
              <w:t>Hence, this lab successfully bridges academic theory with practical cloud security operations and provides a complete understanding of how privacy and compliance can be analyzed, maintained, and demonstrated in AWS-based environments.</w:t>
            </w:r>
          </w:p>
        </w:tc>
      </w:tr>
    </w:tbl>
    <w:p w14:paraId="57359EE6" w14:textId="77777777" w:rsidR="005B461A" w:rsidRDefault="005B461A"/>
    <w:sectPr w:rsidR="005B461A" w:rsidSect="007219F5">
      <w:pgSz w:w="11906" w:h="16838" w:code="9"/>
      <w:pgMar w:top="851" w:right="851"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A7DCF"/>
    <w:multiLevelType w:val="multilevel"/>
    <w:tmpl w:val="5F8287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5F2C23"/>
    <w:multiLevelType w:val="hybridMultilevel"/>
    <w:tmpl w:val="12CC67F4"/>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06C44FDB"/>
    <w:multiLevelType w:val="multilevel"/>
    <w:tmpl w:val="AAAC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437BF"/>
    <w:multiLevelType w:val="hybridMultilevel"/>
    <w:tmpl w:val="8F0C6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9E3184"/>
    <w:multiLevelType w:val="multilevel"/>
    <w:tmpl w:val="B0402C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965EA9"/>
    <w:multiLevelType w:val="multilevel"/>
    <w:tmpl w:val="A8E2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751F30"/>
    <w:multiLevelType w:val="hybridMultilevel"/>
    <w:tmpl w:val="731EBD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C82046C"/>
    <w:multiLevelType w:val="multilevel"/>
    <w:tmpl w:val="C400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53454E"/>
    <w:multiLevelType w:val="hybridMultilevel"/>
    <w:tmpl w:val="1F623E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5EC24EE"/>
    <w:multiLevelType w:val="multilevel"/>
    <w:tmpl w:val="061C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C93E9E"/>
    <w:multiLevelType w:val="multilevel"/>
    <w:tmpl w:val="0DB4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320EFC"/>
    <w:multiLevelType w:val="multilevel"/>
    <w:tmpl w:val="FB38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793B4A"/>
    <w:multiLevelType w:val="multilevel"/>
    <w:tmpl w:val="AE58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0D562A"/>
    <w:multiLevelType w:val="hybridMultilevel"/>
    <w:tmpl w:val="7E1464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1236864"/>
    <w:multiLevelType w:val="multilevel"/>
    <w:tmpl w:val="FDB0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2C5A3E"/>
    <w:multiLevelType w:val="multilevel"/>
    <w:tmpl w:val="8338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5B4E59"/>
    <w:multiLevelType w:val="multilevel"/>
    <w:tmpl w:val="D648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BC363E"/>
    <w:multiLevelType w:val="multilevel"/>
    <w:tmpl w:val="52003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9D7A5D"/>
    <w:multiLevelType w:val="multilevel"/>
    <w:tmpl w:val="121C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E421F0"/>
    <w:multiLevelType w:val="multilevel"/>
    <w:tmpl w:val="522C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EE7C66"/>
    <w:multiLevelType w:val="multilevel"/>
    <w:tmpl w:val="39C4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FA3C6A"/>
    <w:multiLevelType w:val="multilevel"/>
    <w:tmpl w:val="29F62574"/>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4A64EC"/>
    <w:multiLevelType w:val="multilevel"/>
    <w:tmpl w:val="EE164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EA6437"/>
    <w:multiLevelType w:val="multilevel"/>
    <w:tmpl w:val="E028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0901A6"/>
    <w:multiLevelType w:val="multilevel"/>
    <w:tmpl w:val="D1DC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046EDC"/>
    <w:multiLevelType w:val="multilevel"/>
    <w:tmpl w:val="9DFC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D959AA"/>
    <w:multiLevelType w:val="multilevel"/>
    <w:tmpl w:val="0F441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1454DE7"/>
    <w:multiLevelType w:val="multilevel"/>
    <w:tmpl w:val="D97A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3151AD"/>
    <w:multiLevelType w:val="multilevel"/>
    <w:tmpl w:val="2D02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0563F5"/>
    <w:multiLevelType w:val="multilevel"/>
    <w:tmpl w:val="D7241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7213968"/>
    <w:multiLevelType w:val="hybridMultilevel"/>
    <w:tmpl w:val="117874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7353526"/>
    <w:multiLevelType w:val="hybridMultilevel"/>
    <w:tmpl w:val="61D6B0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37B31125"/>
    <w:multiLevelType w:val="multilevel"/>
    <w:tmpl w:val="CB484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8DE56B9"/>
    <w:multiLevelType w:val="multilevel"/>
    <w:tmpl w:val="65C8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FC3DBA"/>
    <w:multiLevelType w:val="multilevel"/>
    <w:tmpl w:val="7B480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0B76D43"/>
    <w:multiLevelType w:val="multilevel"/>
    <w:tmpl w:val="CF466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1C859D3"/>
    <w:multiLevelType w:val="hybridMultilevel"/>
    <w:tmpl w:val="6CA8C51E"/>
    <w:lvl w:ilvl="0" w:tplc="40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7" w15:restartNumberingAfterBreak="0">
    <w:nsid w:val="44C450CE"/>
    <w:multiLevelType w:val="multilevel"/>
    <w:tmpl w:val="47F87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6752C1C"/>
    <w:multiLevelType w:val="multilevel"/>
    <w:tmpl w:val="E464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FF16E6"/>
    <w:multiLevelType w:val="multilevel"/>
    <w:tmpl w:val="79E4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E522AB"/>
    <w:multiLevelType w:val="hybridMultilevel"/>
    <w:tmpl w:val="7A523000"/>
    <w:lvl w:ilvl="0" w:tplc="50486A0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C7203C3"/>
    <w:multiLevelType w:val="multilevel"/>
    <w:tmpl w:val="0182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821554"/>
    <w:multiLevelType w:val="multilevel"/>
    <w:tmpl w:val="E6A4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994B78"/>
    <w:multiLevelType w:val="multilevel"/>
    <w:tmpl w:val="DFCC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F777CD"/>
    <w:multiLevelType w:val="multilevel"/>
    <w:tmpl w:val="801E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C10751"/>
    <w:multiLevelType w:val="multilevel"/>
    <w:tmpl w:val="D08E8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9E4422B"/>
    <w:multiLevelType w:val="multilevel"/>
    <w:tmpl w:val="371225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B4247E5"/>
    <w:multiLevelType w:val="hybridMultilevel"/>
    <w:tmpl w:val="A2BC9F9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8" w15:restartNumberingAfterBreak="0">
    <w:nsid w:val="5DFF4797"/>
    <w:multiLevelType w:val="multilevel"/>
    <w:tmpl w:val="66AE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FB12FE"/>
    <w:multiLevelType w:val="multilevel"/>
    <w:tmpl w:val="973A0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04F7FC2"/>
    <w:multiLevelType w:val="multilevel"/>
    <w:tmpl w:val="1080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6D0DBE"/>
    <w:multiLevelType w:val="multilevel"/>
    <w:tmpl w:val="EC44A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16C487E"/>
    <w:multiLevelType w:val="hybridMultilevel"/>
    <w:tmpl w:val="91AA8AA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61F53CEE"/>
    <w:multiLevelType w:val="multilevel"/>
    <w:tmpl w:val="8E86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5228DF"/>
    <w:multiLevelType w:val="multilevel"/>
    <w:tmpl w:val="592E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E869D5"/>
    <w:multiLevelType w:val="multilevel"/>
    <w:tmpl w:val="AC72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343865"/>
    <w:multiLevelType w:val="hybridMultilevel"/>
    <w:tmpl w:val="92A069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B724D19"/>
    <w:multiLevelType w:val="multilevel"/>
    <w:tmpl w:val="0D306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D0B03AB"/>
    <w:multiLevelType w:val="multilevel"/>
    <w:tmpl w:val="B7A6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F63338"/>
    <w:multiLevelType w:val="multilevel"/>
    <w:tmpl w:val="580E74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F7F3024"/>
    <w:multiLevelType w:val="multilevel"/>
    <w:tmpl w:val="C80CEE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9022DF"/>
    <w:multiLevelType w:val="multilevel"/>
    <w:tmpl w:val="18AE2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14B2548"/>
    <w:multiLevelType w:val="multilevel"/>
    <w:tmpl w:val="DE480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3D20F85"/>
    <w:multiLevelType w:val="multilevel"/>
    <w:tmpl w:val="3B98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177E32"/>
    <w:multiLevelType w:val="multilevel"/>
    <w:tmpl w:val="1D303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CA7095"/>
    <w:multiLevelType w:val="multilevel"/>
    <w:tmpl w:val="B2BA0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CD138C7"/>
    <w:multiLevelType w:val="multilevel"/>
    <w:tmpl w:val="F1723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8312742">
    <w:abstractNumId w:val="17"/>
  </w:num>
  <w:num w:numId="2" w16cid:durableId="1637178761">
    <w:abstractNumId w:val="64"/>
  </w:num>
  <w:num w:numId="3" w16cid:durableId="1927492059">
    <w:abstractNumId w:val="12"/>
  </w:num>
  <w:num w:numId="4" w16cid:durableId="1522208153">
    <w:abstractNumId w:val="57"/>
  </w:num>
  <w:num w:numId="5" w16cid:durableId="1847011347">
    <w:abstractNumId w:val="41"/>
  </w:num>
  <w:num w:numId="6" w16cid:durableId="1587491182">
    <w:abstractNumId w:val="14"/>
  </w:num>
  <w:num w:numId="7" w16cid:durableId="1452283387">
    <w:abstractNumId w:val="2"/>
  </w:num>
  <w:num w:numId="8" w16cid:durableId="1764104207">
    <w:abstractNumId w:val="53"/>
  </w:num>
  <w:num w:numId="9" w16cid:durableId="2099670067">
    <w:abstractNumId w:val="15"/>
  </w:num>
  <w:num w:numId="10" w16cid:durableId="1021931863">
    <w:abstractNumId w:val="33"/>
  </w:num>
  <w:num w:numId="11" w16cid:durableId="88737385">
    <w:abstractNumId w:val="8"/>
  </w:num>
  <w:num w:numId="12" w16cid:durableId="1498812456">
    <w:abstractNumId w:val="7"/>
  </w:num>
  <w:num w:numId="13" w16cid:durableId="663241508">
    <w:abstractNumId w:val="5"/>
  </w:num>
  <w:num w:numId="14" w16cid:durableId="1368457564">
    <w:abstractNumId w:val="66"/>
  </w:num>
  <w:num w:numId="15" w16cid:durableId="1363242836">
    <w:abstractNumId w:val="44"/>
  </w:num>
  <w:num w:numId="16" w16cid:durableId="1610505753">
    <w:abstractNumId w:val="27"/>
  </w:num>
  <w:num w:numId="17" w16cid:durableId="1651397177">
    <w:abstractNumId w:val="20"/>
  </w:num>
  <w:num w:numId="18" w16cid:durableId="786704970">
    <w:abstractNumId w:val="18"/>
  </w:num>
  <w:num w:numId="19" w16cid:durableId="1234854238">
    <w:abstractNumId w:val="11"/>
  </w:num>
  <w:num w:numId="20" w16cid:durableId="9723322">
    <w:abstractNumId w:val="21"/>
  </w:num>
  <w:num w:numId="21" w16cid:durableId="146943917">
    <w:abstractNumId w:val="60"/>
  </w:num>
  <w:num w:numId="22" w16cid:durableId="959343447">
    <w:abstractNumId w:val="28"/>
  </w:num>
  <w:num w:numId="23" w16cid:durableId="1490705174">
    <w:abstractNumId w:val="39"/>
  </w:num>
  <w:num w:numId="24" w16cid:durableId="365449924">
    <w:abstractNumId w:val="25"/>
  </w:num>
  <w:num w:numId="25" w16cid:durableId="1483231738">
    <w:abstractNumId w:val="48"/>
  </w:num>
  <w:num w:numId="26" w16cid:durableId="635182975">
    <w:abstractNumId w:val="10"/>
  </w:num>
  <w:num w:numId="27" w16cid:durableId="1431505345">
    <w:abstractNumId w:val="63"/>
  </w:num>
  <w:num w:numId="28" w16cid:durableId="1557856773">
    <w:abstractNumId w:val="31"/>
  </w:num>
  <w:num w:numId="29" w16cid:durableId="50690892">
    <w:abstractNumId w:val="47"/>
  </w:num>
  <w:num w:numId="30" w16cid:durableId="76366869">
    <w:abstractNumId w:val="1"/>
  </w:num>
  <w:num w:numId="31" w16cid:durableId="1846898882">
    <w:abstractNumId w:val="3"/>
  </w:num>
  <w:num w:numId="32" w16cid:durableId="964888927">
    <w:abstractNumId w:val="40"/>
  </w:num>
  <w:num w:numId="33" w16cid:durableId="1469594903">
    <w:abstractNumId w:val="52"/>
  </w:num>
  <w:num w:numId="34" w16cid:durableId="1343699969">
    <w:abstractNumId w:val="13"/>
  </w:num>
  <w:num w:numId="35" w16cid:durableId="1055349351">
    <w:abstractNumId w:val="56"/>
  </w:num>
  <w:num w:numId="36" w16cid:durableId="1359772536">
    <w:abstractNumId w:val="6"/>
  </w:num>
  <w:num w:numId="37" w16cid:durableId="988556835">
    <w:abstractNumId w:val="36"/>
  </w:num>
  <w:num w:numId="38" w16cid:durableId="2002466984">
    <w:abstractNumId w:val="61"/>
  </w:num>
  <w:num w:numId="39" w16cid:durableId="23554791">
    <w:abstractNumId w:val="38"/>
  </w:num>
  <w:num w:numId="40" w16cid:durableId="1797063307">
    <w:abstractNumId w:val="58"/>
  </w:num>
  <w:num w:numId="41" w16cid:durableId="1713967369">
    <w:abstractNumId w:val="30"/>
  </w:num>
  <w:num w:numId="42" w16cid:durableId="437529049">
    <w:abstractNumId w:val="19"/>
  </w:num>
  <w:num w:numId="43" w16cid:durableId="1915699937">
    <w:abstractNumId w:val="24"/>
  </w:num>
  <w:num w:numId="44" w16cid:durableId="2070153654">
    <w:abstractNumId w:val="55"/>
  </w:num>
  <w:num w:numId="45" w16cid:durableId="30692162">
    <w:abstractNumId w:val="54"/>
  </w:num>
  <w:num w:numId="46" w16cid:durableId="546644488">
    <w:abstractNumId w:val="43"/>
  </w:num>
  <w:num w:numId="47" w16cid:durableId="1932003131">
    <w:abstractNumId w:val="23"/>
  </w:num>
  <w:num w:numId="48" w16cid:durableId="1783569502">
    <w:abstractNumId w:val="16"/>
  </w:num>
  <w:num w:numId="49" w16cid:durableId="1583685254">
    <w:abstractNumId w:val="9"/>
  </w:num>
  <w:num w:numId="50" w16cid:durableId="43262874">
    <w:abstractNumId w:val="62"/>
  </w:num>
  <w:num w:numId="51" w16cid:durableId="1784227147">
    <w:abstractNumId w:val="34"/>
  </w:num>
  <w:num w:numId="52" w16cid:durableId="1272517025">
    <w:abstractNumId w:val="45"/>
  </w:num>
  <w:num w:numId="53" w16cid:durableId="199175230">
    <w:abstractNumId w:val="59"/>
  </w:num>
  <w:num w:numId="54" w16cid:durableId="311642811">
    <w:abstractNumId w:val="65"/>
  </w:num>
  <w:num w:numId="55" w16cid:durableId="555091046">
    <w:abstractNumId w:val="29"/>
  </w:num>
  <w:num w:numId="56" w16cid:durableId="460609146">
    <w:abstractNumId w:val="50"/>
  </w:num>
  <w:num w:numId="57" w16cid:durableId="124277089">
    <w:abstractNumId w:val="46"/>
  </w:num>
  <w:num w:numId="58" w16cid:durableId="517230673">
    <w:abstractNumId w:val="32"/>
  </w:num>
  <w:num w:numId="59" w16cid:durableId="501748408">
    <w:abstractNumId w:val="4"/>
  </w:num>
  <w:num w:numId="60" w16cid:durableId="10844970">
    <w:abstractNumId w:val="42"/>
  </w:num>
  <w:num w:numId="61" w16cid:durableId="345324740">
    <w:abstractNumId w:val="35"/>
  </w:num>
  <w:num w:numId="62" w16cid:durableId="448166620">
    <w:abstractNumId w:val="51"/>
  </w:num>
  <w:num w:numId="63" w16cid:durableId="2037999648">
    <w:abstractNumId w:val="22"/>
  </w:num>
  <w:num w:numId="64" w16cid:durableId="1265649898">
    <w:abstractNumId w:val="49"/>
  </w:num>
  <w:num w:numId="65" w16cid:durableId="241717208">
    <w:abstractNumId w:val="0"/>
  </w:num>
  <w:num w:numId="66" w16cid:durableId="463355425">
    <w:abstractNumId w:val="37"/>
  </w:num>
  <w:num w:numId="67" w16cid:durableId="164989854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059"/>
    <w:rsid w:val="00001D22"/>
    <w:rsid w:val="000563BE"/>
    <w:rsid w:val="000C6FE5"/>
    <w:rsid w:val="00177B48"/>
    <w:rsid w:val="002329D9"/>
    <w:rsid w:val="002845CA"/>
    <w:rsid w:val="00291999"/>
    <w:rsid w:val="002937CD"/>
    <w:rsid w:val="002B7846"/>
    <w:rsid w:val="002C3D4E"/>
    <w:rsid w:val="002D7231"/>
    <w:rsid w:val="0034666F"/>
    <w:rsid w:val="003972DD"/>
    <w:rsid w:val="00505396"/>
    <w:rsid w:val="00554667"/>
    <w:rsid w:val="00595E35"/>
    <w:rsid w:val="005B461A"/>
    <w:rsid w:val="00686606"/>
    <w:rsid w:val="007219F5"/>
    <w:rsid w:val="00725A01"/>
    <w:rsid w:val="00740CD4"/>
    <w:rsid w:val="00756CCC"/>
    <w:rsid w:val="00782C31"/>
    <w:rsid w:val="007B0323"/>
    <w:rsid w:val="009E1CEA"/>
    <w:rsid w:val="00A22D05"/>
    <w:rsid w:val="00A42059"/>
    <w:rsid w:val="00A42B1B"/>
    <w:rsid w:val="00AC19A5"/>
    <w:rsid w:val="00AC382D"/>
    <w:rsid w:val="00AE1E66"/>
    <w:rsid w:val="00B20917"/>
    <w:rsid w:val="00B50B80"/>
    <w:rsid w:val="00D01807"/>
    <w:rsid w:val="00D04F04"/>
    <w:rsid w:val="00D12040"/>
    <w:rsid w:val="00D57B85"/>
    <w:rsid w:val="00DA5867"/>
    <w:rsid w:val="00DB41AA"/>
    <w:rsid w:val="00E00E02"/>
    <w:rsid w:val="00EA63BE"/>
    <w:rsid w:val="00EB0ECB"/>
    <w:rsid w:val="00F507E8"/>
    <w:rsid w:val="00F578E6"/>
    <w:rsid w:val="00F966A2"/>
    <w:rsid w:val="00FC39AF"/>
    <w:rsid w:val="00FD42A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6B947"/>
  <w15:chartTrackingRefBased/>
  <w15:docId w15:val="{2B6FA67D-C668-437C-9BBD-D75A8DDCD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63BE"/>
  </w:style>
  <w:style w:type="paragraph" w:styleId="Heading1">
    <w:name w:val="heading 1"/>
    <w:basedOn w:val="Normal"/>
    <w:next w:val="Normal"/>
    <w:link w:val="Heading1Char"/>
    <w:uiPriority w:val="9"/>
    <w:qFormat/>
    <w:rsid w:val="00A42059"/>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A42059"/>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A42059"/>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A420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20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20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0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0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0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059"/>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A42059"/>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A42059"/>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A420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20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20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0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0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059"/>
    <w:rPr>
      <w:rFonts w:eastAsiaTheme="majorEastAsia" w:cstheme="majorBidi"/>
      <w:color w:val="272727" w:themeColor="text1" w:themeTint="D8"/>
    </w:rPr>
  </w:style>
  <w:style w:type="paragraph" w:styleId="Title">
    <w:name w:val="Title"/>
    <w:basedOn w:val="Normal"/>
    <w:next w:val="Normal"/>
    <w:link w:val="TitleChar"/>
    <w:uiPriority w:val="10"/>
    <w:qFormat/>
    <w:rsid w:val="00A4205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4205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4205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4205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42059"/>
    <w:pPr>
      <w:spacing w:before="160"/>
      <w:jc w:val="center"/>
    </w:pPr>
    <w:rPr>
      <w:i/>
      <w:iCs/>
      <w:color w:val="404040" w:themeColor="text1" w:themeTint="BF"/>
    </w:rPr>
  </w:style>
  <w:style w:type="character" w:customStyle="1" w:styleId="QuoteChar">
    <w:name w:val="Quote Char"/>
    <w:basedOn w:val="DefaultParagraphFont"/>
    <w:link w:val="Quote"/>
    <w:uiPriority w:val="29"/>
    <w:rsid w:val="00A42059"/>
    <w:rPr>
      <w:i/>
      <w:iCs/>
      <w:color w:val="404040" w:themeColor="text1" w:themeTint="BF"/>
    </w:rPr>
  </w:style>
  <w:style w:type="paragraph" w:styleId="ListParagraph">
    <w:name w:val="List Paragraph"/>
    <w:basedOn w:val="Normal"/>
    <w:uiPriority w:val="34"/>
    <w:qFormat/>
    <w:rsid w:val="00A42059"/>
    <w:pPr>
      <w:ind w:left="720"/>
      <w:contextualSpacing/>
    </w:pPr>
  </w:style>
  <w:style w:type="character" w:styleId="IntenseEmphasis">
    <w:name w:val="Intense Emphasis"/>
    <w:basedOn w:val="DefaultParagraphFont"/>
    <w:uiPriority w:val="21"/>
    <w:qFormat/>
    <w:rsid w:val="00A42059"/>
    <w:rPr>
      <w:i/>
      <w:iCs/>
      <w:color w:val="2F5496" w:themeColor="accent1" w:themeShade="BF"/>
    </w:rPr>
  </w:style>
  <w:style w:type="paragraph" w:styleId="IntenseQuote">
    <w:name w:val="Intense Quote"/>
    <w:basedOn w:val="Normal"/>
    <w:next w:val="Normal"/>
    <w:link w:val="IntenseQuoteChar"/>
    <w:uiPriority w:val="30"/>
    <w:qFormat/>
    <w:rsid w:val="00A420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2059"/>
    <w:rPr>
      <w:i/>
      <w:iCs/>
      <w:color w:val="2F5496" w:themeColor="accent1" w:themeShade="BF"/>
    </w:rPr>
  </w:style>
  <w:style w:type="character" w:styleId="IntenseReference">
    <w:name w:val="Intense Reference"/>
    <w:basedOn w:val="DefaultParagraphFont"/>
    <w:uiPriority w:val="32"/>
    <w:qFormat/>
    <w:rsid w:val="00A42059"/>
    <w:rPr>
      <w:b/>
      <w:bCs/>
      <w:smallCaps/>
      <w:color w:val="2F5496" w:themeColor="accent1" w:themeShade="BF"/>
      <w:spacing w:val="5"/>
    </w:rPr>
  </w:style>
  <w:style w:type="table" w:styleId="TableGrid">
    <w:name w:val="Table Grid"/>
    <w:basedOn w:val="TableNormal"/>
    <w:uiPriority w:val="39"/>
    <w:rsid w:val="003972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239130">
      <w:bodyDiv w:val="1"/>
      <w:marLeft w:val="0"/>
      <w:marRight w:val="0"/>
      <w:marTop w:val="0"/>
      <w:marBottom w:val="0"/>
      <w:divBdr>
        <w:top w:val="none" w:sz="0" w:space="0" w:color="auto"/>
        <w:left w:val="none" w:sz="0" w:space="0" w:color="auto"/>
        <w:bottom w:val="none" w:sz="0" w:space="0" w:color="auto"/>
        <w:right w:val="none" w:sz="0" w:space="0" w:color="auto"/>
      </w:divBdr>
    </w:div>
    <w:div w:id="446462825">
      <w:bodyDiv w:val="1"/>
      <w:marLeft w:val="0"/>
      <w:marRight w:val="0"/>
      <w:marTop w:val="0"/>
      <w:marBottom w:val="0"/>
      <w:divBdr>
        <w:top w:val="none" w:sz="0" w:space="0" w:color="auto"/>
        <w:left w:val="none" w:sz="0" w:space="0" w:color="auto"/>
        <w:bottom w:val="none" w:sz="0" w:space="0" w:color="auto"/>
        <w:right w:val="none" w:sz="0" w:space="0" w:color="auto"/>
      </w:divBdr>
    </w:div>
    <w:div w:id="919602684">
      <w:bodyDiv w:val="1"/>
      <w:marLeft w:val="0"/>
      <w:marRight w:val="0"/>
      <w:marTop w:val="0"/>
      <w:marBottom w:val="0"/>
      <w:divBdr>
        <w:top w:val="none" w:sz="0" w:space="0" w:color="auto"/>
        <w:left w:val="none" w:sz="0" w:space="0" w:color="auto"/>
        <w:bottom w:val="none" w:sz="0" w:space="0" w:color="auto"/>
        <w:right w:val="none" w:sz="0" w:space="0" w:color="auto"/>
      </w:divBdr>
    </w:div>
    <w:div w:id="1126048993">
      <w:bodyDiv w:val="1"/>
      <w:marLeft w:val="0"/>
      <w:marRight w:val="0"/>
      <w:marTop w:val="0"/>
      <w:marBottom w:val="0"/>
      <w:divBdr>
        <w:top w:val="none" w:sz="0" w:space="0" w:color="auto"/>
        <w:left w:val="none" w:sz="0" w:space="0" w:color="auto"/>
        <w:bottom w:val="none" w:sz="0" w:space="0" w:color="auto"/>
        <w:right w:val="none" w:sz="0" w:space="0" w:color="auto"/>
      </w:divBdr>
    </w:div>
    <w:div w:id="1503469883">
      <w:bodyDiv w:val="1"/>
      <w:marLeft w:val="0"/>
      <w:marRight w:val="0"/>
      <w:marTop w:val="0"/>
      <w:marBottom w:val="0"/>
      <w:divBdr>
        <w:top w:val="none" w:sz="0" w:space="0" w:color="auto"/>
        <w:left w:val="none" w:sz="0" w:space="0" w:color="auto"/>
        <w:bottom w:val="none" w:sz="0" w:space="0" w:color="auto"/>
        <w:right w:val="none" w:sz="0" w:space="0" w:color="auto"/>
      </w:divBdr>
    </w:div>
    <w:div w:id="1576547773">
      <w:bodyDiv w:val="1"/>
      <w:marLeft w:val="0"/>
      <w:marRight w:val="0"/>
      <w:marTop w:val="0"/>
      <w:marBottom w:val="0"/>
      <w:divBdr>
        <w:top w:val="none" w:sz="0" w:space="0" w:color="auto"/>
        <w:left w:val="none" w:sz="0" w:space="0" w:color="auto"/>
        <w:bottom w:val="none" w:sz="0" w:space="0" w:color="auto"/>
        <w:right w:val="none" w:sz="0" w:space="0" w:color="auto"/>
      </w:divBdr>
    </w:div>
    <w:div w:id="1719157839">
      <w:bodyDiv w:val="1"/>
      <w:marLeft w:val="0"/>
      <w:marRight w:val="0"/>
      <w:marTop w:val="0"/>
      <w:marBottom w:val="0"/>
      <w:divBdr>
        <w:top w:val="none" w:sz="0" w:space="0" w:color="auto"/>
        <w:left w:val="none" w:sz="0" w:space="0" w:color="auto"/>
        <w:bottom w:val="none" w:sz="0" w:space="0" w:color="auto"/>
        <w:right w:val="none" w:sz="0" w:space="0" w:color="auto"/>
      </w:divBdr>
    </w:div>
    <w:div w:id="2043050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2F8761-7287-4B5B-97FD-2BEFCF83EF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855</Words>
  <Characters>4876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Jagdale</dc:creator>
  <cp:keywords/>
  <dc:description/>
  <cp:lastModifiedBy>Jeevesh Pandey</cp:lastModifiedBy>
  <cp:revision>2</cp:revision>
  <dcterms:created xsi:type="dcterms:W3CDTF">2026-04-05T19:31:00Z</dcterms:created>
  <dcterms:modified xsi:type="dcterms:W3CDTF">2026-04-05T19:31:00Z</dcterms:modified>
</cp:coreProperties>
</file>