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124"/>
        <w:gridCol w:w="4814"/>
      </w:tblGrid>
      <w:tr w:rsidR="00EB0ECB" w14:paraId="241F21E5" w14:textId="77777777" w:rsidTr="00EB0ECB">
        <w:trPr>
          <w:gridAfter w:val="1"/>
          <w:wAfter w:w="4814" w:type="dxa"/>
        </w:trPr>
        <w:tc>
          <w:tcPr>
            <w:tcW w:w="4813" w:type="dxa"/>
            <w:gridSpan w:val="2"/>
          </w:tcPr>
          <w:p w14:paraId="7B1541B0" w14:textId="39BDB154" w:rsidR="00EB0ECB" w:rsidRPr="00A22D05" w:rsidRDefault="00595E35" w:rsidP="00EB0ECB">
            <w:pPr>
              <w:rPr>
                <w:rFonts w:ascii="Times New Roman" w:hAnsi="Times New Roman" w:cs="Times New Roman"/>
                <w:b/>
                <w:bCs/>
                <w:sz w:val="28"/>
                <w:szCs w:val="28"/>
              </w:rPr>
            </w:pPr>
            <w:r>
              <w:rPr>
                <w:rFonts w:ascii="Times New Roman" w:hAnsi="Times New Roman" w:cs="Times New Roman"/>
                <w:b/>
                <w:bCs/>
                <w:sz w:val="28"/>
                <w:szCs w:val="28"/>
              </w:rPr>
              <w:t xml:space="preserve">Cloud Security &amp; Privacy Lab                                             </w:t>
            </w:r>
            <w:r w:rsidRPr="00595E35">
              <w:rPr>
                <w:rFonts w:ascii="Times New Roman" w:hAnsi="Times New Roman" w:cs="Times New Roman"/>
                <w:b/>
                <w:bCs/>
                <w:sz w:val="28"/>
                <w:szCs w:val="28"/>
              </w:rPr>
              <w:t>23CSE3108</w:t>
            </w:r>
          </w:p>
        </w:tc>
      </w:tr>
      <w:tr w:rsidR="00EB0ECB" w14:paraId="640079FC" w14:textId="77777777" w:rsidTr="00EB0ECB">
        <w:trPr>
          <w:gridAfter w:val="1"/>
          <w:wAfter w:w="4814" w:type="dxa"/>
        </w:trPr>
        <w:tc>
          <w:tcPr>
            <w:tcW w:w="4813" w:type="dxa"/>
            <w:gridSpan w:val="2"/>
          </w:tcPr>
          <w:p w14:paraId="0D05281F" w14:textId="782EB0AA" w:rsidR="00EB0ECB" w:rsidRPr="00A22D05" w:rsidRDefault="00EB0ECB" w:rsidP="00EB0ECB">
            <w:pPr>
              <w:rPr>
                <w:rFonts w:ascii="Times New Roman" w:hAnsi="Times New Roman" w:cs="Times New Roman"/>
                <w:b/>
                <w:bCs/>
                <w:sz w:val="28"/>
                <w:szCs w:val="28"/>
              </w:rPr>
            </w:pPr>
          </w:p>
        </w:tc>
      </w:tr>
      <w:tr w:rsidR="00EB0ECB" w14:paraId="4D041975" w14:textId="77777777" w:rsidTr="00EB0ECB">
        <w:trPr>
          <w:gridAfter w:val="1"/>
          <w:wAfter w:w="4814" w:type="dxa"/>
        </w:trPr>
        <w:tc>
          <w:tcPr>
            <w:tcW w:w="4813" w:type="dxa"/>
            <w:gridSpan w:val="2"/>
          </w:tcPr>
          <w:p w14:paraId="67694835" w14:textId="6EC12E50" w:rsidR="00EB0ECB" w:rsidRPr="00A22D05" w:rsidRDefault="00EB0ECB" w:rsidP="00EB0ECB">
            <w:pPr>
              <w:rPr>
                <w:rFonts w:ascii="Times New Roman" w:hAnsi="Times New Roman" w:cs="Times New Roman"/>
                <w:b/>
                <w:bCs/>
                <w:sz w:val="28"/>
                <w:szCs w:val="28"/>
              </w:rPr>
            </w:pPr>
          </w:p>
        </w:tc>
      </w:tr>
      <w:tr w:rsidR="00D04F04" w14:paraId="55D99157" w14:textId="77777777" w:rsidTr="00A42B1B">
        <w:tc>
          <w:tcPr>
            <w:tcW w:w="2689" w:type="dxa"/>
          </w:tcPr>
          <w:p w14:paraId="2C3C96CE" w14:textId="05231442" w:rsidR="00D04F04" w:rsidRP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Name of the Student</w:t>
            </w:r>
          </w:p>
        </w:tc>
        <w:tc>
          <w:tcPr>
            <w:tcW w:w="6938" w:type="dxa"/>
            <w:gridSpan w:val="2"/>
          </w:tcPr>
          <w:p w14:paraId="2B722A9D" w14:textId="6AE98198" w:rsidR="00D04F04" w:rsidRP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w:t>
            </w:r>
            <w:r w:rsidR="00740CD4" w:rsidRPr="00782C31">
              <w:rPr>
                <w:rFonts w:ascii="Times New Roman" w:hAnsi="Times New Roman" w:cs="Times New Roman"/>
                <w:b/>
                <w:bCs/>
                <w:sz w:val="28"/>
                <w:szCs w:val="28"/>
              </w:rPr>
              <w:t>Jeevesh Pandey</w:t>
            </w:r>
          </w:p>
        </w:tc>
      </w:tr>
      <w:tr w:rsidR="00D04F04" w14:paraId="458B1A87" w14:textId="77777777" w:rsidTr="00A42B1B">
        <w:tc>
          <w:tcPr>
            <w:tcW w:w="2689" w:type="dxa"/>
          </w:tcPr>
          <w:p w14:paraId="4334664A" w14:textId="77777777" w:rsid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Division</w:t>
            </w:r>
          </w:p>
          <w:p w14:paraId="16A99B50" w14:textId="34758E6D" w:rsidR="00595E35" w:rsidRPr="00D04F04" w:rsidRDefault="00595E35">
            <w:pPr>
              <w:rPr>
                <w:rFonts w:ascii="Times New Roman" w:hAnsi="Times New Roman" w:cs="Times New Roman"/>
                <w:b/>
                <w:bCs/>
                <w:sz w:val="28"/>
                <w:szCs w:val="28"/>
              </w:rPr>
            </w:pPr>
            <w:r>
              <w:rPr>
                <w:rFonts w:ascii="Times New Roman" w:hAnsi="Times New Roman" w:cs="Times New Roman"/>
                <w:b/>
                <w:bCs/>
                <w:sz w:val="28"/>
                <w:szCs w:val="28"/>
              </w:rPr>
              <w:t>Batch</w:t>
            </w:r>
          </w:p>
        </w:tc>
        <w:tc>
          <w:tcPr>
            <w:tcW w:w="6938" w:type="dxa"/>
            <w:gridSpan w:val="2"/>
          </w:tcPr>
          <w:p w14:paraId="5CAFFA66" w14:textId="77777777" w:rsid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w:t>
            </w:r>
            <w:r w:rsidR="00595E35">
              <w:rPr>
                <w:rFonts w:ascii="Times New Roman" w:hAnsi="Times New Roman" w:cs="Times New Roman"/>
                <w:sz w:val="28"/>
                <w:szCs w:val="28"/>
              </w:rPr>
              <w:t>TY – CSF 01</w:t>
            </w:r>
          </w:p>
          <w:p w14:paraId="03B80456" w14:textId="33B7C3AC" w:rsidR="00595E35" w:rsidRPr="00D04F04" w:rsidRDefault="00595E35">
            <w:pPr>
              <w:rPr>
                <w:rFonts w:ascii="Times New Roman" w:hAnsi="Times New Roman" w:cs="Times New Roman"/>
                <w:sz w:val="28"/>
                <w:szCs w:val="28"/>
              </w:rPr>
            </w:pPr>
            <w:r>
              <w:rPr>
                <w:rFonts w:ascii="Times New Roman" w:hAnsi="Times New Roman" w:cs="Times New Roman"/>
                <w:sz w:val="28"/>
                <w:szCs w:val="28"/>
              </w:rPr>
              <w:t>: B</w:t>
            </w:r>
          </w:p>
        </w:tc>
      </w:tr>
      <w:tr w:rsidR="00D04F04" w14:paraId="7FD24BF9" w14:textId="77777777" w:rsidTr="00A42B1B">
        <w:tc>
          <w:tcPr>
            <w:tcW w:w="2689" w:type="dxa"/>
          </w:tcPr>
          <w:p w14:paraId="04858B3B" w14:textId="78A2CF45" w:rsidR="00D04F04" w:rsidRP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Enrolment No.</w:t>
            </w:r>
          </w:p>
        </w:tc>
        <w:tc>
          <w:tcPr>
            <w:tcW w:w="6938" w:type="dxa"/>
            <w:gridSpan w:val="2"/>
          </w:tcPr>
          <w:p w14:paraId="123B1647" w14:textId="27B73897" w:rsidR="00D04F04" w:rsidRP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ADT23SOCB0485</w:t>
            </w:r>
          </w:p>
        </w:tc>
      </w:tr>
      <w:tr w:rsidR="00D04F04" w14:paraId="12D4B48D" w14:textId="77777777" w:rsidTr="00A42B1B">
        <w:tc>
          <w:tcPr>
            <w:tcW w:w="2689" w:type="dxa"/>
          </w:tcPr>
          <w:p w14:paraId="41B999C6" w14:textId="7776AE48" w:rsidR="00D04F04" w:rsidRP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Roll No.</w:t>
            </w:r>
          </w:p>
        </w:tc>
        <w:tc>
          <w:tcPr>
            <w:tcW w:w="6938" w:type="dxa"/>
            <w:gridSpan w:val="2"/>
          </w:tcPr>
          <w:p w14:paraId="084D26C3" w14:textId="7F7983E1" w:rsidR="002D7231" w:rsidRP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w:t>
            </w:r>
            <w:r w:rsidR="00595E35">
              <w:rPr>
                <w:rFonts w:ascii="Times New Roman" w:hAnsi="Times New Roman" w:cs="Times New Roman"/>
                <w:sz w:val="28"/>
                <w:szCs w:val="28"/>
              </w:rPr>
              <w:t xml:space="preserve">33 </w:t>
            </w:r>
          </w:p>
        </w:tc>
      </w:tr>
    </w:tbl>
    <w:p w14:paraId="0CACF1AB" w14:textId="77777777" w:rsidR="00EB0ECB" w:rsidRDefault="00EB0ECB"/>
    <w:p w14:paraId="75A42033" w14:textId="77777777" w:rsidR="00E00E02" w:rsidRDefault="00E00E02"/>
    <w:tbl>
      <w:tblPr>
        <w:tblStyle w:val="TableGrid"/>
        <w:tblW w:w="10065" w:type="dxa"/>
        <w:tblInd w:w="-431" w:type="dxa"/>
        <w:tblLook w:val="04A0" w:firstRow="1" w:lastRow="0" w:firstColumn="1" w:lastColumn="0" w:noHBand="0" w:noVBand="1"/>
      </w:tblPr>
      <w:tblGrid>
        <w:gridCol w:w="1364"/>
        <w:gridCol w:w="9246"/>
      </w:tblGrid>
      <w:tr w:rsidR="005B461A" w14:paraId="127B9175" w14:textId="77777777" w:rsidTr="00EA63BE">
        <w:trPr>
          <w:trHeight w:val="474"/>
        </w:trPr>
        <w:tc>
          <w:tcPr>
            <w:tcW w:w="10065" w:type="dxa"/>
            <w:gridSpan w:val="2"/>
          </w:tcPr>
          <w:p>
            <w:pPr>
              <w:spacing w:line="276" w:lineRule="auto"/>
            </w:pPr>
            <w:r>
              <w:rPr>
                <w:rFonts w:ascii="Times New Roman" w:hAnsi="Times New Roman" w:cs="Times New Roman"/>
                <w:b/>
                <w:bCs/>
                <w:sz w:val="24"/>
                <w:szCs w:val="24"/>
              </w:rPr>
              <w:t>Title:</w:t>
            </w:r>
          </w:p>
          <w:p>
            <w:pPr>
              <w:spacing w:line="276" w:lineRule="auto"/>
            </w:pPr>
            <w:r>
              <w:rPr>
                <w:rFonts w:ascii="Times New Roman" w:hAnsi="Times New Roman" w:cs="Times New Roman"/>
                <w:sz w:val="24"/>
                <w:szCs w:val="24"/>
              </w:rPr>
              <w:t>"Case Study: Privacy and Compliance Analysis in Cloud Environments"</w:t>
            </w:r>
          </w:p>
        </w:tc>
      </w:tr>
      <w:tr w:rsidR="005B461A" w14:paraId="59A8F089" w14:textId="77777777" w:rsidTr="00EA63BE">
        <w:trPr>
          <w:trHeight w:val="978"/>
        </w:trPr>
        <w:tc>
          <w:tcPr>
            <w:tcW w:w="1364" w:type="dxa"/>
          </w:tcPr>
          <w:p w14:paraId="3D684ECB" w14:textId="77777777" w:rsidR="00782C31" w:rsidRDefault="00782C31">
            <w:pPr>
              <w:rPr>
                <w:rFonts w:ascii="Times New Roman" w:hAnsi="Times New Roman" w:cs="Times New Roman"/>
                <w:b/>
                <w:bCs/>
                <w:sz w:val="24"/>
                <w:szCs w:val="24"/>
              </w:rPr>
            </w:pPr>
          </w:p>
          <w:p w14:paraId="2987E10A" w14:textId="259E1A6B" w:rsidR="005B461A" w:rsidRPr="00A42B1B" w:rsidRDefault="005B461A">
            <w:pPr>
              <w:rPr>
                <w:rFonts w:ascii="Times New Roman" w:hAnsi="Times New Roman" w:cs="Times New Roman"/>
                <w:b/>
                <w:bCs/>
                <w:sz w:val="24"/>
                <w:szCs w:val="24"/>
              </w:rPr>
            </w:pPr>
            <w:r w:rsidRPr="00A42B1B">
              <w:rPr>
                <w:rFonts w:ascii="Times New Roman" w:hAnsi="Times New Roman" w:cs="Times New Roman"/>
                <w:b/>
                <w:bCs/>
                <w:sz w:val="24"/>
                <w:szCs w:val="24"/>
              </w:rPr>
              <w:t>Aim</w:t>
            </w:r>
          </w:p>
        </w:tc>
        <w:tc>
          <w:tcPr>
            <w:tcW w:w="8701" w:type="dxa"/>
          </w:tcPr>
          <w:p>
            <w:pPr>
              <w:spacing w:line="276" w:lineRule="auto"/>
            </w:pPr>
            <w:r>
              <w:rPr>
                <w:rFonts w:ascii="Times New Roman" w:hAnsi="Times New Roman" w:cs="Times New Roman"/>
                <w:sz w:val="24"/>
                <w:szCs w:val="24"/>
              </w:rPr>
              <w:t>To study privacy and compliance requirements in cloud environments and analyze how AWS security services, governance controls, and monitoring mechanisms help protect sensitive data and support regulatory compliance.</w:t>
            </w:r>
          </w:p>
        </w:tc>
      </w:tr>
      <w:tr w:rsidR="005B461A" w14:paraId="3A89454B" w14:textId="77777777" w:rsidTr="00EA63BE">
        <w:trPr>
          <w:trHeight w:val="1405"/>
        </w:trPr>
        <w:tc>
          <w:tcPr>
            <w:tcW w:w="1364" w:type="dxa"/>
          </w:tcPr>
          <w:p w14:paraId="5EC0CDA5" w14:textId="77777777" w:rsidR="00782C31" w:rsidRDefault="00782C31">
            <w:pPr>
              <w:rPr>
                <w:rFonts w:ascii="Times New Roman" w:hAnsi="Times New Roman" w:cs="Times New Roman"/>
                <w:b/>
                <w:bCs/>
                <w:sz w:val="24"/>
                <w:szCs w:val="24"/>
              </w:rPr>
            </w:pPr>
          </w:p>
          <w:p w14:paraId="4120AB02" w14:textId="2F6C09CD" w:rsidR="005B461A" w:rsidRPr="00A42B1B" w:rsidRDefault="005B461A">
            <w:pPr>
              <w:rPr>
                <w:rFonts w:ascii="Times New Roman" w:hAnsi="Times New Roman" w:cs="Times New Roman"/>
                <w:b/>
                <w:bCs/>
                <w:sz w:val="24"/>
                <w:szCs w:val="24"/>
              </w:rPr>
            </w:pPr>
            <w:r w:rsidRPr="00A42B1B">
              <w:rPr>
                <w:rFonts w:ascii="Times New Roman" w:hAnsi="Times New Roman" w:cs="Times New Roman"/>
                <w:b/>
                <w:bCs/>
                <w:sz w:val="24"/>
                <w:szCs w:val="24"/>
              </w:rPr>
              <w:t>Objective</w:t>
            </w:r>
            <w:r w:rsidR="0034666F" w:rsidRPr="00A42B1B">
              <w:rPr>
                <w:rFonts w:ascii="Times New Roman" w:hAnsi="Times New Roman" w:cs="Times New Roman"/>
                <w:b/>
                <w:bCs/>
                <w:sz w:val="24"/>
                <w:szCs w:val="24"/>
              </w:rPr>
              <w:t>s</w:t>
            </w:r>
          </w:p>
        </w:tc>
        <w:tc>
          <w:tcPr>
            <w:tcW w:w="8701" w:type="dxa"/>
          </w:tcPr>
          <w:p>
            <w:pPr>
              <w:spacing w:line="276" w:lineRule="auto"/>
            </w:pPr>
            <w:r>
              <w:rPr>
                <w:rFonts w:ascii="Times New Roman" w:hAnsi="Times New Roman" w:cs="Times New Roman"/>
                <w:sz w:val="24"/>
                <w:szCs w:val="24"/>
              </w:rPr>
              <w:t>1. To understand privacy and compliance challenges in cloud computing environments.</w:t>
            </w:r>
          </w:p>
          <w:p>
            <w:pPr>
              <w:spacing w:line="276" w:lineRule="auto"/>
            </w:pPr>
            <w:r>
              <w:rPr>
                <w:rFonts w:ascii="Times New Roman" w:hAnsi="Times New Roman" w:cs="Times New Roman"/>
                <w:sz w:val="24"/>
                <w:szCs w:val="24"/>
              </w:rPr>
              <w:t>2. To analyze the role of AWS shared responsibility, identity and access management, encryption, logging, and monitoring in protecting sensitive information.</w:t>
            </w:r>
          </w:p>
          <w:p>
            <w:pPr>
              <w:spacing w:line="276" w:lineRule="auto"/>
            </w:pPr>
            <w:r>
              <w:rPr>
                <w:rFonts w:ascii="Times New Roman" w:hAnsi="Times New Roman" w:cs="Times New Roman"/>
                <w:sz w:val="24"/>
                <w:szCs w:val="24"/>
              </w:rPr>
              <w:t>3. To study AWS services and features that support compliance, including IAM, Amazon S3, AWS KMS, AWS CloudTrail, Amazon CloudWatch, AWS Config, and Security Hub.</w:t>
            </w:r>
          </w:p>
          <w:p>
            <w:pPr>
              <w:spacing w:line="276" w:lineRule="auto"/>
            </w:pPr>
            <w:r>
              <w:rPr>
                <w:rFonts w:ascii="Times New Roman" w:hAnsi="Times New Roman" w:cs="Times New Roman"/>
                <w:sz w:val="24"/>
                <w:szCs w:val="24"/>
              </w:rPr>
              <w:t>4. To perform a guided case study using the AWS Academy Cloud Security Foundations environment and map the activities to privacy and compliance controls.</w:t>
            </w:r>
          </w:p>
          <w:p>
            <w:pPr>
              <w:spacing w:line="276" w:lineRule="auto"/>
            </w:pPr>
            <w:r>
              <w:rPr>
                <w:rFonts w:ascii="Times New Roman" w:hAnsi="Times New Roman" w:cs="Times New Roman"/>
                <w:sz w:val="24"/>
                <w:szCs w:val="24"/>
              </w:rPr>
              <w:t>5. To interpret the security observations from each module and relate them to real-world governance and audit requirements.</w:t>
            </w:r>
          </w:p>
        </w:tc>
      </w:tr>
      <w:tr w:rsidR="009E1CEA" w14:paraId="37AE7C20" w14:textId="77777777" w:rsidTr="00EA63BE">
        <w:trPr>
          <w:trHeight w:val="1405"/>
        </w:trPr>
        <w:tc>
          <w:tcPr>
            <w:tcW w:w="1364" w:type="dxa"/>
            <w:vAlign w:val="center"/>
          </w:tcPr>
          <w:p w14:paraId="2A497176" w14:textId="66B9DE44" w:rsidR="009E1CEA" w:rsidRDefault="009E1CEA" w:rsidP="009E1CEA">
            <w:pPr>
              <w:jc w:val="center"/>
              <w:rPr>
                <w:rFonts w:ascii="Times New Roman" w:hAnsi="Times New Roman" w:cs="Times New Roman"/>
                <w:b/>
                <w:bCs/>
                <w:sz w:val="24"/>
                <w:szCs w:val="24"/>
              </w:rPr>
            </w:pPr>
            <w:r>
              <w:rPr>
                <w:rFonts w:ascii="Times New Roman" w:hAnsi="Times New Roman" w:cs="Times New Roman"/>
                <w:b/>
                <w:bCs/>
                <w:sz w:val="24"/>
                <w:szCs w:val="24"/>
              </w:rPr>
              <w:t>Outcomes</w:t>
            </w:r>
          </w:p>
        </w:tc>
        <w:tc>
          <w:tcPr>
            <w:tcW w:w="8701" w:type="dxa"/>
          </w:tcPr>
          <w:p>
            <w:pPr>
              <w:spacing w:line="276" w:lineRule="auto"/>
            </w:pPr>
            <w:r>
              <w:rPr>
                <w:rFonts w:ascii="Times New Roman" w:hAnsi="Times New Roman" w:cs="Times New Roman"/>
                <w:sz w:val="24"/>
                <w:szCs w:val="24"/>
              </w:rPr>
              <w:t>After completion of this case study, we will be able to:</w:t>
            </w:r>
          </w:p>
          <w:p>
            <w:pPr>
              <w:spacing w:line="276" w:lineRule="auto"/>
            </w:pPr>
            <w:r>
              <w:rPr>
                <w:rFonts w:ascii="Times New Roman" w:hAnsi="Times New Roman" w:cs="Times New Roman"/>
                <w:sz w:val="24"/>
                <w:szCs w:val="24"/>
              </w:rPr>
              <w:t>1. Identify major privacy and compliance concerns in cloud environments.</w:t>
            </w:r>
          </w:p>
          <w:p>
            <w:pPr>
              <w:spacing w:line="276" w:lineRule="auto"/>
            </w:pPr>
            <w:r>
              <w:rPr>
                <w:rFonts w:ascii="Times New Roman" w:hAnsi="Times New Roman" w:cs="Times New Roman"/>
                <w:sz w:val="24"/>
                <w:szCs w:val="24"/>
              </w:rPr>
              <w:t>2. Explain how AWS security services contribute to confidentiality, integrity, accountability, and regulatory readiness.</w:t>
            </w:r>
          </w:p>
          <w:p>
            <w:pPr>
              <w:spacing w:line="276" w:lineRule="auto"/>
            </w:pPr>
            <w:r>
              <w:rPr>
                <w:rFonts w:ascii="Times New Roman" w:hAnsi="Times New Roman" w:cs="Times New Roman"/>
                <w:sz w:val="24"/>
                <w:szCs w:val="24"/>
              </w:rPr>
              <w:t>3. Relate IAM, VPC security, encryption, logging, and incident response activities to compliance requirements.</w:t>
            </w:r>
          </w:p>
          <w:p>
            <w:pPr>
              <w:spacing w:line="276" w:lineRule="auto"/>
            </w:pPr>
            <w:r>
              <w:rPr>
                <w:rFonts w:ascii="Times New Roman" w:hAnsi="Times New Roman" w:cs="Times New Roman"/>
                <w:sz w:val="24"/>
                <w:szCs w:val="24"/>
              </w:rPr>
              <w:t>4. Analyze a cloud deployment from a privacy and audit perspective and document suitable security controls.</w:t>
            </w:r>
          </w:p>
          <w:p>
            <w:pPr>
              <w:spacing w:line="276" w:lineRule="auto"/>
            </w:pPr>
            <w:r>
              <w:rPr>
                <w:rFonts w:ascii="Times New Roman" w:hAnsi="Times New Roman" w:cs="Times New Roman"/>
                <w:sz w:val="24"/>
                <w:szCs w:val="24"/>
              </w:rPr>
              <w:t>5. Summarize how continuous monitoring and incident remediation strengthen compliance posture in AWS.</w:t>
            </w:r>
          </w:p>
        </w:tc>
      </w:tr>
      <w:tr w:rsidR="00EA63BE" w14:paraId="03CF6DF6" w14:textId="77777777" w:rsidTr="00EA63BE">
        <w:trPr>
          <w:trHeight w:val="1405"/>
        </w:trPr>
        <w:tc>
          <w:tcPr>
            <w:tcW w:w="1364" w:type="dxa"/>
            <w:vAlign w:val="center"/>
          </w:tcPr>
          <w:p w14:paraId="1F0B68A9" w14:textId="11DA85CB" w:rsidR="00EA63BE" w:rsidRDefault="00EA63BE" w:rsidP="00EA63BE">
            <w:pPr>
              <w:rPr>
                <w:rFonts w:ascii="Times New Roman" w:hAnsi="Times New Roman" w:cs="Times New Roman"/>
                <w:b/>
                <w:bCs/>
                <w:sz w:val="24"/>
                <w:szCs w:val="24"/>
              </w:rPr>
            </w:pPr>
            <w:r w:rsidRPr="00A42B1B">
              <w:rPr>
                <w:rFonts w:ascii="Times New Roman" w:hAnsi="Times New Roman" w:cs="Times New Roman"/>
                <w:b/>
                <w:bCs/>
                <w:sz w:val="24"/>
                <w:szCs w:val="24"/>
              </w:rPr>
              <w:t>Theory</w:t>
            </w:r>
          </w:p>
        </w:tc>
        <w:tc>
          <w:tcPr>
            <w:tcW w:w="8701" w:type="dxa"/>
          </w:tcPr>
          <w:p>
            <w:pPr>
              <w:spacing w:line="276" w:lineRule="auto"/>
            </w:pPr>
            <w:r>
              <w:rPr>
                <w:rFonts w:ascii="Times New Roman" w:hAnsi="Times New Roman" w:cs="Times New Roman"/>
                <w:b/>
                <w:bCs/>
                <w:sz w:val="24"/>
                <w:szCs w:val="24"/>
              </w:rPr>
              <w:t>THEORETICAL ASPECTS</w:t>
            </w:r>
          </w:p>
          <w:p>
            <w:pPr>
              <w:spacing w:line="276" w:lineRule="auto"/>
            </w:pPr>
            <w:r>
              <w:rPr>
                <w:rFonts w:ascii="Times New Roman" w:hAnsi="Times New Roman" w:cs="Times New Roman"/>
                <w:sz w:val="24"/>
                <w:szCs w:val="24"/>
              </w:rPr>
              <w:t>Cloud environments process large volumes of personal, business, and regulated data. Privacy in the cloud focuses on how data is collected, stored, accessed, shared, and retained. Compliance ensures that cloud deployments meet organizational policies and legal or industry frameworks such as ISO 27001, GDPR principles, HIPAA-style safeguards, PCI DSS concepts, and internal audit requirements.</w:t>
            </w:r>
          </w:p>
          <w:p>
            <w:pPr>
              <w:spacing w:line="276" w:lineRule="auto"/>
            </w:pPr>
            <w:r>
              <w:rPr>
                <w:rFonts w:ascii="Times New Roman" w:hAnsi="Times New Roman" w:cs="Times New Roman"/>
                <w:b/>
                <w:bCs/>
                <w:sz w:val="24"/>
                <w:szCs w:val="24"/>
              </w:rPr>
              <w:t>1. Privacy in Cloud Environments</w:t>
            </w:r>
          </w:p>
          <w:p>
            <w:pPr>
              <w:spacing w:line="276" w:lineRule="auto"/>
            </w:pPr>
            <w:r>
              <w:rPr>
                <w:rFonts w:ascii="Times New Roman" w:hAnsi="Times New Roman" w:cs="Times New Roman"/>
                <w:sz w:val="24"/>
                <w:szCs w:val="24"/>
              </w:rPr>
              <w:t>Privacy requires strong control over data access, storage, transmission, and lifecycle management. In AWS, privacy is supported through identity controls, encryption, logging, and service configuration. Proper privacy management helps prevent unauthorized disclosure of personal, confidential, and business-critical information.</w:t>
            </w:r>
          </w:p>
          <w:p>
            <w:pPr>
              <w:spacing w:line="276" w:lineRule="auto"/>
            </w:pPr>
            <w:r>
              <w:rPr>
                <w:rFonts w:ascii="Times New Roman" w:hAnsi="Times New Roman" w:cs="Times New Roman"/>
                <w:b/>
                <w:bCs/>
                <w:sz w:val="24"/>
                <w:szCs w:val="24"/>
              </w:rPr>
              <w:t>2. Compliance in AWS</w:t>
            </w:r>
          </w:p>
          <w:p>
            <w:pPr>
              <w:spacing w:line="276" w:lineRule="auto"/>
            </w:pPr>
            <w:r>
              <w:rPr>
                <w:rFonts w:ascii="Times New Roman" w:hAnsi="Times New Roman" w:cs="Times New Roman"/>
                <w:sz w:val="24"/>
                <w:szCs w:val="24"/>
              </w:rPr>
              <w:t>Compliance means demonstrating that cloud resources are configured and operated according to security policies and applicable standards. AWS supports compliance through documented practices, audit logs, configuration tracking, and continuous assessment services. Customers are still responsible for correctly configuring workloads and data protection settings.</w:t>
            </w:r>
          </w:p>
          <w:p>
            <w:pPr>
              <w:spacing w:line="276" w:lineRule="auto"/>
            </w:pPr>
            <w:r>
              <w:rPr>
                <w:rFonts w:ascii="Times New Roman" w:hAnsi="Times New Roman" w:cs="Times New Roman"/>
                <w:b/>
                <w:bCs/>
                <w:sz w:val="24"/>
                <w:szCs w:val="24"/>
              </w:rPr>
              <w:t>3. Shared Responsibility Model</w:t>
            </w:r>
          </w:p>
          <w:p>
            <w:pPr>
              <w:spacing w:line="276" w:lineRule="auto"/>
            </w:pPr>
            <w:r>
              <w:rPr>
                <w:rFonts w:ascii="Times New Roman" w:hAnsi="Times New Roman" w:cs="Times New Roman"/>
                <w:sz w:val="24"/>
                <w:szCs w:val="24"/>
              </w:rPr>
              <w:t>AWS is responsible for security of the cloud, while the customer is responsible for security in the cloud. This distinction is essential for privacy and compliance analysis because identity settings, network controls, encryption, logging, and incident handling remain customer-side responsibilities.</w:t>
            </w:r>
          </w:p>
          <w:p>
            <w:pPr>
              <w:spacing w:line="276" w:lineRule="auto"/>
            </w:pPr>
            <w:r>
              <w:rPr>
                <w:rFonts w:ascii="Times New Roman" w:hAnsi="Times New Roman" w:cs="Times New Roman"/>
                <w:b/>
                <w:bCs/>
                <w:sz w:val="24"/>
                <w:szCs w:val="24"/>
              </w:rPr>
              <w:t>4. Security Controls Relevant to the Case Study</w:t>
            </w:r>
          </w:p>
          <w:p>
            <w:pPr>
              <w:spacing w:line="276" w:lineRule="auto"/>
            </w:pPr>
            <w:r>
              <w:rPr>
                <w:rFonts w:ascii="Times New Roman" w:hAnsi="Times New Roman" w:cs="Times New Roman"/>
                <w:sz w:val="24"/>
                <w:szCs w:val="24"/>
              </w:rPr>
              <w:t>IAM enforces identity governance through users, groups, roles, and policies.</w:t>
            </w:r>
          </w:p>
          <w:p>
            <w:pPr>
              <w:spacing w:line="276" w:lineRule="auto"/>
            </w:pPr>
            <w:r>
              <w:rPr>
                <w:rFonts w:ascii="Times New Roman" w:hAnsi="Times New Roman" w:cs="Times New Roman"/>
                <w:sz w:val="24"/>
                <w:szCs w:val="24"/>
              </w:rPr>
              <w:t>Amazon VPC, security groups, and network ACLs provide segmentation and reduce exposure of sensitive systems.</w:t>
            </w:r>
          </w:p>
          <w:p>
            <w:pPr>
              <w:spacing w:line="276" w:lineRule="auto"/>
            </w:pPr>
            <w:r>
              <w:rPr>
                <w:rFonts w:ascii="Times New Roman" w:hAnsi="Times New Roman" w:cs="Times New Roman"/>
                <w:sz w:val="24"/>
                <w:szCs w:val="24"/>
              </w:rPr>
              <w:t>Amazon S3 and AWS KMS protect data at rest through storage controls and encryption.</w:t>
            </w:r>
          </w:p>
          <w:p>
            <w:pPr>
              <w:spacing w:line="276" w:lineRule="auto"/>
            </w:pPr>
            <w:r>
              <w:rPr>
                <w:rFonts w:ascii="Times New Roman" w:hAnsi="Times New Roman" w:cs="Times New Roman"/>
                <w:sz w:val="24"/>
                <w:szCs w:val="24"/>
              </w:rPr>
              <w:t>Secure communication methods protect data in transit.</w:t>
            </w:r>
          </w:p>
          <w:p>
            <w:pPr>
              <w:spacing w:line="276" w:lineRule="auto"/>
            </w:pPr>
            <w:r>
              <w:rPr>
                <w:rFonts w:ascii="Times New Roman" w:hAnsi="Times New Roman" w:cs="Times New Roman"/>
                <w:sz w:val="24"/>
                <w:szCs w:val="24"/>
              </w:rPr>
              <w:t>AWS CloudTrail, Amazon CloudWatch, AWS Config, and Security Hub provide auditing, monitoring, alerting, and compliance visibility.</w:t>
            </w:r>
          </w:p>
          <w:p>
            <w:pPr>
              <w:spacing w:line="276" w:lineRule="auto"/>
            </w:pPr>
            <w:r>
              <w:rPr>
                <w:rFonts w:ascii="Times New Roman" w:hAnsi="Times New Roman" w:cs="Times New Roman"/>
                <w:sz w:val="24"/>
                <w:szCs w:val="24"/>
              </w:rPr>
              <w:t>AWS Lambda can automate remediation when non-compliant configurations or incidents are detected.</w:t>
            </w:r>
          </w:p>
          <w:p>
            <w:pPr>
              <w:spacing w:line="276" w:lineRule="auto"/>
            </w:pPr>
            <w:r>
              <w:rPr>
                <w:rFonts w:ascii="Times New Roman" w:hAnsi="Times New Roman" w:cs="Times New Roman"/>
                <w:b/>
                <w:bCs/>
                <w:sz w:val="24"/>
                <w:szCs w:val="24"/>
              </w:rPr>
              <w:t>5. Relevance of the AWS Academy Modules</w:t>
            </w:r>
          </w:p>
          <w:p>
            <w:pPr>
              <w:spacing w:line="276" w:lineRule="auto"/>
            </w:pPr>
            <w:r>
              <w:rPr>
                <w:rFonts w:ascii="Times New Roman" w:hAnsi="Times New Roman" w:cs="Times New Roman"/>
                <w:sz w:val="24"/>
                <w:szCs w:val="24"/>
              </w:rPr>
              <w:t>Module 3 focuses on access control. Module 4 focuses on infrastructure security. Module 5 covers data protection. Module 6 covers logging and monitoring. Module 7 addresses incident response. Together, these modules provide a complete case-study view of privacy and compliance analysis in cloud environments.</w:t>
            </w:r>
          </w:p>
        </w:tc>
      </w:tr>
      <w:tr w:rsidR="00D12040" w14:paraId="7AE8D55F" w14:textId="77777777" w:rsidTr="00EA63BE">
        <w:trPr>
          <w:trHeight w:val="5140"/>
        </w:trPr>
        <w:tc>
          <w:tcPr>
            <w:tcW w:w="1364" w:type="dxa"/>
          </w:tcPr>
          <w:p w14:paraId="1F520BDC" w14:textId="77777777" w:rsidR="00D12040" w:rsidRDefault="00D12040" w:rsidP="00D12040">
            <w:pPr>
              <w:ind w:right="-675"/>
              <w:rPr>
                <w:rFonts w:ascii="Times New Roman" w:hAnsi="Times New Roman" w:cs="Times New Roman"/>
                <w:b/>
                <w:bCs/>
                <w:sz w:val="24"/>
                <w:szCs w:val="24"/>
              </w:rPr>
            </w:pPr>
          </w:p>
          <w:p w14:paraId="514E8776" w14:textId="0A9E83AB" w:rsidR="00D12040" w:rsidRDefault="00D12040" w:rsidP="00D12040">
            <w:pPr>
              <w:ind w:right="-675"/>
              <w:rPr>
                <w:rFonts w:ascii="Times New Roman" w:hAnsi="Times New Roman" w:cs="Times New Roman"/>
                <w:b/>
                <w:bCs/>
                <w:sz w:val="24"/>
                <w:szCs w:val="24"/>
              </w:rPr>
            </w:pPr>
            <w:r>
              <w:rPr>
                <w:rFonts w:ascii="Times New Roman" w:hAnsi="Times New Roman" w:cs="Times New Roman"/>
                <w:b/>
                <w:bCs/>
                <w:sz w:val="24"/>
                <w:szCs w:val="24"/>
              </w:rPr>
              <w:t>Implement</w:t>
            </w:r>
          </w:p>
          <w:p w14:paraId="0F33CCEB" w14:textId="4CAF8DB6" w:rsidR="00D12040" w:rsidRDefault="00D12040" w:rsidP="00D12040">
            <w:pPr>
              <w:rPr>
                <w:rFonts w:ascii="Times New Roman" w:hAnsi="Times New Roman" w:cs="Times New Roman"/>
                <w:b/>
                <w:bCs/>
                <w:sz w:val="24"/>
                <w:szCs w:val="24"/>
              </w:rPr>
            </w:pPr>
            <w:r>
              <w:rPr>
                <w:rFonts w:ascii="Times New Roman" w:hAnsi="Times New Roman" w:cs="Times New Roman"/>
                <w:b/>
                <w:bCs/>
                <w:sz w:val="24"/>
                <w:szCs w:val="24"/>
              </w:rPr>
              <w:t>-</w:t>
            </w:r>
            <w:proofErr w:type="spellStart"/>
            <w:r>
              <w:rPr>
                <w:rFonts w:ascii="Times New Roman" w:hAnsi="Times New Roman" w:cs="Times New Roman"/>
                <w:b/>
                <w:bCs/>
                <w:sz w:val="24"/>
                <w:szCs w:val="24"/>
              </w:rPr>
              <w:t>ations</w:t>
            </w:r>
            <w:proofErr w:type="spellEnd"/>
          </w:p>
        </w:tc>
        <w:tc>
          <w:tcPr>
            <w:tcW w:w="8701" w:type="dxa"/>
          </w:tcPr>
          <w:p>
            <w:pPr>
              <w:spacing w:line="276" w:lineRule="auto"/>
            </w:pPr>
            <w:r>
              <w:rPr>
                <w:rFonts w:ascii="Times New Roman" w:hAnsi="Times New Roman" w:cs="Times New Roman"/>
                <w:sz w:val="24"/>
                <w:szCs w:val="24"/>
              </w:rPr>
              <w:t>Step 1: Open the AWS Academy Cloud Security Foundations course and review the available modules related to cloud security and privacy.</w:t>
            </w:r>
          </w:p>
          <w:p>
            <w:pPr>
              <w:spacing w:line="276" w:lineRule="auto"/>
            </w:pPr>
            <w:r>
              <w:rPr>
                <w:rFonts w:ascii="Times New Roman" w:hAnsi="Times New Roman" w:cs="Times New Roman"/>
                <w:sz w:val="24"/>
                <w:szCs w:val="24"/>
              </w:rPr>
              <w:t>Step 2: Define the case-study scope by identifying the main privacy and compliance concerns: access control, network security, data protection, audit logging, and incident remediation.</w:t>
            </w:r>
          </w:p>
          <w:p>
            <w:pPr>
              <w:spacing w:line="276" w:lineRule="auto"/>
            </w:pPr>
            <w:r>
              <w:rPr>
                <w:rFonts w:ascii="Times New Roman" w:hAnsi="Times New Roman" w:cs="Times New Roman"/>
                <w:sz w:val="24"/>
                <w:szCs w:val="24"/>
              </w:rPr>
              <w:t>Step 3: Open Module 3: Securing Access to Cloud Resources and review IAM fundamentals, authentication, authorization, examples of authorizing with IAM, and AWS Organizations.</w:t>
            </w:r>
          </w:p>
          <w:p>
            <w:pPr>
              <w:spacing w:line="276" w:lineRule="auto"/>
            </w:pPr>
            <w:r>
              <w:rPr>
                <w:rFonts w:ascii="Times New Roman" w:hAnsi="Times New Roman" w:cs="Times New Roman"/>
                <w:sz w:val="24"/>
                <w:szCs w:val="24"/>
              </w:rPr>
              <w:t>Step 4: Analyze how IAM users, groups, roles, and policies implement least privilege and reduce unauthorized access to sensitive data.</w:t>
            </w:r>
          </w:p>
          <w:p>
            <w:pPr>
              <w:spacing w:line="276" w:lineRule="auto"/>
            </w:pPr>
            <w:r>
              <w:rPr>
                <w:rFonts w:ascii="Times New Roman" w:hAnsi="Times New Roman" w:cs="Times New Roman"/>
                <w:sz w:val="24"/>
                <w:szCs w:val="24"/>
              </w:rPr>
              <w:t>Step 5: Open Lab 3.1: Using Resource-Based Policies to Secure an S3 Bucket and study how identity-based and resource-based policies work together.</w:t>
            </w:r>
          </w:p>
          <w:p>
            <w:pPr>
              <w:spacing w:line="276" w:lineRule="auto"/>
            </w:pPr>
            <w:r>
              <w:rPr>
                <w:rFonts w:ascii="Times New Roman" w:hAnsi="Times New Roman" w:cs="Times New Roman"/>
                <w:sz w:val="24"/>
                <w:szCs w:val="24"/>
              </w:rPr>
              <w:t>Step 6: Open Module 4: Securing Your Infrastructure and review VPC concepts, subnets, internet protocols, security groups, network ACLs, and load balancers.</w:t>
            </w:r>
          </w:p>
          <w:p>
            <w:pPr>
              <w:spacing w:line="276" w:lineRule="auto"/>
            </w:pPr>
            <w:r>
              <w:rPr>
                <w:rFonts w:ascii="Times New Roman" w:hAnsi="Times New Roman" w:cs="Times New Roman"/>
                <w:sz w:val="24"/>
                <w:szCs w:val="24"/>
              </w:rPr>
              <w:t>Step 7: Observe how segmentation and traffic filtering help satisfy compliance requirements for secure system isolation.</w:t>
            </w:r>
          </w:p>
          <w:p>
            <w:pPr>
              <w:spacing w:line="276" w:lineRule="auto"/>
            </w:pPr>
            <w:r>
              <w:rPr>
                <w:rFonts w:ascii="Times New Roman" w:hAnsi="Times New Roman" w:cs="Times New Roman"/>
                <w:sz w:val="24"/>
                <w:szCs w:val="24"/>
              </w:rPr>
              <w:t>Step 8: Open Lab 4.1: Securing VPC Resources by Using Security Groups and examine how inbound and outbound rules are applied.</w:t>
            </w:r>
          </w:p>
          <w:p>
            <w:pPr>
              <w:spacing w:line="276" w:lineRule="auto"/>
            </w:pPr>
            <w:r>
              <w:rPr>
                <w:rFonts w:ascii="Times New Roman" w:hAnsi="Times New Roman" w:cs="Times New Roman"/>
                <w:sz w:val="24"/>
                <w:szCs w:val="24"/>
              </w:rPr>
              <w:t>Step 9: Open Module 5: Protecting Data in Your Application and study data protection at rest, Amazon S3 security features, encryption, and protection of data in transit.</w:t>
            </w:r>
          </w:p>
          <w:p>
            <w:pPr>
              <w:spacing w:line="276" w:lineRule="auto"/>
            </w:pPr>
            <w:r>
              <w:rPr>
                <w:rFonts w:ascii="Times New Roman" w:hAnsi="Times New Roman" w:cs="Times New Roman"/>
                <w:sz w:val="24"/>
                <w:szCs w:val="24"/>
              </w:rPr>
              <w:t>Step 10: Open Lab 5.1: Encrypting Data at Rest by Using AWS KMS and analyze the role of key management and encrypted storage in privacy protection.</w:t>
            </w:r>
          </w:p>
          <w:p>
            <w:pPr>
              <w:spacing w:line="276" w:lineRule="auto"/>
            </w:pPr>
            <w:r>
              <w:rPr>
                <w:rFonts w:ascii="Times New Roman" w:hAnsi="Times New Roman" w:cs="Times New Roman"/>
                <w:sz w:val="24"/>
                <w:szCs w:val="24"/>
              </w:rPr>
              <w:t>Step 11: Open Module 6: Logging and Monitoring and review CloudTrail, CloudWatch, Security Hub, and logging best practices.</w:t>
            </w:r>
          </w:p>
          <w:p>
            <w:pPr>
              <w:spacing w:line="276" w:lineRule="auto"/>
            </w:pPr>
            <w:r>
              <w:rPr>
                <w:rFonts w:ascii="Times New Roman" w:hAnsi="Times New Roman" w:cs="Times New Roman"/>
                <w:sz w:val="24"/>
                <w:szCs w:val="24"/>
              </w:rPr>
              <w:t>Step 12: Open Lab 6.1: Monitoring and Alerting with CloudTrail and CloudWatch and note how audit logs and alerts support compliance evidence and traceability.</w:t>
            </w:r>
          </w:p>
          <w:p>
            <w:pPr>
              <w:spacing w:line="276" w:lineRule="auto"/>
            </w:pPr>
            <w:r>
              <w:rPr>
                <w:rFonts w:ascii="Times New Roman" w:hAnsi="Times New Roman" w:cs="Times New Roman"/>
                <w:sz w:val="24"/>
                <w:szCs w:val="24"/>
              </w:rPr>
              <w:t>Step 13: Open Module 7: Responding to and Managing an Incident and study how AWS Config and Lambda support incident detection and remediation.</w:t>
            </w:r>
          </w:p>
          <w:p>
            <w:pPr>
              <w:spacing w:line="276" w:lineRule="auto"/>
            </w:pPr>
            <w:r>
              <w:rPr>
                <w:rFonts w:ascii="Times New Roman" w:hAnsi="Times New Roman" w:cs="Times New Roman"/>
                <w:sz w:val="24"/>
                <w:szCs w:val="24"/>
              </w:rPr>
              <w:t>Step 14: Open Lab 7.1: Remediating an Incident by Using AWS Config and Lambda and analyze how automated corrective actions strengthen compliance posture.</w:t>
            </w:r>
          </w:p>
          <w:p>
            <w:pPr>
              <w:spacing w:line="276" w:lineRule="auto"/>
            </w:pPr>
            <w:r>
              <w:rPr>
                <w:rFonts w:ascii="Times New Roman" w:hAnsi="Times New Roman" w:cs="Times New Roman"/>
                <w:sz w:val="24"/>
                <w:szCs w:val="24"/>
              </w:rPr>
              <w:t>Step 15: Map the observations from all modules to privacy and compliance controls and summarize the findings in terms of governance, auditing, and secure cloud operations.</w:t>
            </w:r>
          </w:p>
        </w:tc>
      </w:tr>
      <w:tr w:rsidR="005B461A" w14:paraId="1C56DB8D" w14:textId="77777777" w:rsidTr="00EA63BE">
        <w:trPr>
          <w:trHeight w:val="1405"/>
        </w:trPr>
        <w:tc>
          <w:tcPr>
            <w:tcW w:w="1364" w:type="dxa"/>
          </w:tcPr>
          <w:p w14:paraId="08A90FE3" w14:textId="77777777" w:rsidR="00782C31" w:rsidRDefault="00782C31">
            <w:pPr>
              <w:rPr>
                <w:rFonts w:ascii="Times New Roman" w:hAnsi="Times New Roman" w:cs="Times New Roman"/>
                <w:b/>
                <w:bCs/>
                <w:sz w:val="24"/>
                <w:szCs w:val="24"/>
              </w:rPr>
            </w:pPr>
          </w:p>
          <w:p w14:paraId="0040B2F6" w14:textId="42747493" w:rsidR="005B461A" w:rsidRPr="00A42B1B" w:rsidRDefault="00725A01">
            <w:pPr>
              <w:rPr>
                <w:rFonts w:ascii="Times New Roman" w:hAnsi="Times New Roman" w:cs="Times New Roman"/>
                <w:b/>
                <w:bCs/>
                <w:sz w:val="24"/>
                <w:szCs w:val="24"/>
              </w:rPr>
            </w:pPr>
            <w:r w:rsidRPr="00A42B1B">
              <w:rPr>
                <w:rFonts w:ascii="Times New Roman" w:hAnsi="Times New Roman" w:cs="Times New Roman"/>
                <w:b/>
                <w:bCs/>
                <w:sz w:val="24"/>
                <w:szCs w:val="24"/>
              </w:rPr>
              <w:t>Output</w:t>
            </w:r>
          </w:p>
        </w:tc>
        <w:tc>
          <w:tcPr>
            <w:tcW w:w="8701" w:type="dxa"/>
          </w:tcPr>
          <w:p>
            <w:pPr>
              <w:spacing w:line="276" w:lineRule="auto"/>
            </w:pPr>
            <w:r>
              <w:rPr>
                <w:rFonts w:ascii="Times New Roman" w:hAnsi="Times New Roman" w:cs="Times New Roman"/>
                <w:b/>
                <w:bCs/>
                <w:sz w:val="24"/>
                <w:szCs w:val="24"/>
              </w:rPr>
              <w:t>Expected Output / Observation:</w:t>
            </w:r>
          </w:p>
          <w:p>
            <w:pPr>
              <w:spacing w:line="276" w:lineRule="auto"/>
            </w:pPr>
            <w:r>
              <w:rPr>
                <w:rFonts w:ascii="Times New Roman" w:hAnsi="Times New Roman" w:cs="Times New Roman"/>
                <w:sz w:val="24"/>
                <w:szCs w:val="24"/>
              </w:rPr>
              <w:t>1. The learner is able to analyze an AWS cloud environment from both privacy and compliance perspectives.</w:t>
            </w:r>
          </w:p>
          <w:p>
            <w:pPr>
              <w:spacing w:line="276" w:lineRule="auto"/>
            </w:pPr>
            <w:r>
              <w:rPr>
                <w:rFonts w:ascii="Times New Roman" w:hAnsi="Times New Roman" w:cs="Times New Roman"/>
                <w:sz w:val="24"/>
                <w:szCs w:val="24"/>
              </w:rPr>
              <w:t>2. The learner identifies how IAM, VPC controls, S3 protection, AWS KMS, CloudTrail, CloudWatch, AWS Config, and Lambda contribute to secure and compliant cloud operations.</w:t>
            </w:r>
          </w:p>
          <w:p>
            <w:pPr>
              <w:spacing w:line="276" w:lineRule="auto"/>
            </w:pPr>
            <w:r>
              <w:rPr>
                <w:rFonts w:ascii="Times New Roman" w:hAnsi="Times New Roman" w:cs="Times New Roman"/>
                <w:sz w:val="24"/>
                <w:szCs w:val="24"/>
              </w:rPr>
              <w:t>3. The learner explains the relationship between access control, encryption, monitoring, and incident response in maintaining privacy of cloud-hosted data.</w:t>
            </w:r>
          </w:p>
          <w:p>
            <w:pPr>
              <w:spacing w:line="276" w:lineRule="auto"/>
            </w:pPr>
            <w:r>
              <w:rPr>
                <w:rFonts w:ascii="Times New Roman" w:hAnsi="Times New Roman" w:cs="Times New Roman"/>
                <w:sz w:val="24"/>
                <w:szCs w:val="24"/>
              </w:rPr>
              <w:t>4. The learner concludes that compliance depends on both AWS capabilities and correct customer-side configuration under the shared responsibility model.</w:t>
            </w:r>
          </w:p>
          <w:p>
            <w:pPr>
              <w:spacing w:line="276" w:lineRule="auto"/>
            </w:pPr>
            <w:r>
              <w:rPr>
                <w:rFonts w:ascii="Times New Roman" w:hAnsi="Times New Roman" w:cs="Times New Roman"/>
                <w:sz w:val="24"/>
                <w:szCs w:val="24"/>
              </w:rPr>
              <w:t>5. Relevant screenshots from the AWS Academy modules and lab exercises can be inserted in this section as supporting evidence.</w:t>
            </w:r>
          </w:p>
        </w:tc>
      </w:tr>
      <w:tr w:rsidR="00725A01" w14:paraId="24E1C2D0" w14:textId="77777777" w:rsidTr="00EA63BE">
        <w:trPr>
          <w:trHeight w:val="1343"/>
        </w:trPr>
        <w:tc>
          <w:tcPr>
            <w:tcW w:w="1364" w:type="dxa"/>
          </w:tcPr>
          <w:p w14:paraId="7B6412E0" w14:textId="77777777" w:rsidR="00782C31" w:rsidRDefault="00782C31">
            <w:pPr>
              <w:rPr>
                <w:rFonts w:ascii="Times New Roman" w:hAnsi="Times New Roman" w:cs="Times New Roman"/>
                <w:b/>
                <w:bCs/>
                <w:sz w:val="24"/>
                <w:szCs w:val="24"/>
              </w:rPr>
            </w:pPr>
          </w:p>
          <w:p w14:paraId="1602293C" w14:textId="1D9BC1BC" w:rsidR="00725A01" w:rsidRPr="00A42B1B" w:rsidRDefault="00725A01">
            <w:pPr>
              <w:rPr>
                <w:rFonts w:ascii="Times New Roman" w:hAnsi="Times New Roman" w:cs="Times New Roman"/>
                <w:b/>
                <w:bCs/>
                <w:sz w:val="24"/>
                <w:szCs w:val="24"/>
              </w:rPr>
            </w:pPr>
            <w:r w:rsidRPr="00A42B1B">
              <w:rPr>
                <w:rFonts w:ascii="Times New Roman" w:hAnsi="Times New Roman" w:cs="Times New Roman"/>
                <w:b/>
                <w:bCs/>
                <w:sz w:val="24"/>
                <w:szCs w:val="24"/>
              </w:rPr>
              <w:t>Conclusion</w:t>
            </w:r>
          </w:p>
        </w:tc>
        <w:tc>
          <w:tcPr>
            <w:tcW w:w="8701" w:type="dxa"/>
          </w:tcPr>
          <w:p>
            <w:pPr>
              <w:spacing w:line="276" w:lineRule="auto"/>
            </w:pPr>
            <w:r>
              <w:rPr>
                <w:rFonts w:ascii="Times New Roman" w:hAnsi="Times New Roman" w:cs="Times New Roman"/>
                <w:sz w:val="24"/>
                <w:szCs w:val="24"/>
              </w:rPr>
              <w:t>This case study on Privacy and Compliance Analysis in Cloud Environments shows that effective cloud governance depends on a layered combination of access control, infrastructure security, encryption, logging, monitoring, and incident remediation. The AWS Academy Cloud Security Foundations modules demonstrate how these services help protect sensitive information and support compliance objectives. The study also reinforces the shared responsibility model, where AWS secures the underlying cloud platform and the customer must securely configure services to maintain privacy, accountability, and continuous compliance.</w:t>
            </w:r>
          </w:p>
        </w:tc>
      </w:tr>
    </w:tbl>
    <w:p w14:paraId="57359EE6" w14:textId="77777777" w:rsidR="005B461A" w:rsidRDefault="005B461A"/>
    <w:sectPr w:rsidR="005B461A" w:rsidSect="007219F5">
      <w:pgSz w:w="11906" w:h="16838" w:code="9"/>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DCF"/>
    <w:multiLevelType w:val="multilevel"/>
    <w:tmpl w:val="5F8287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F2C23"/>
    <w:multiLevelType w:val="hybridMultilevel"/>
    <w:tmpl w:val="12CC67F4"/>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6C44FDB"/>
    <w:multiLevelType w:val="multilevel"/>
    <w:tmpl w:val="AAA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37BF"/>
    <w:multiLevelType w:val="hybridMultilevel"/>
    <w:tmpl w:val="8F0C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9E3184"/>
    <w:multiLevelType w:val="multilevel"/>
    <w:tmpl w:val="B0402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65EA9"/>
    <w:multiLevelType w:val="multilevel"/>
    <w:tmpl w:val="A8E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51F30"/>
    <w:multiLevelType w:val="hybridMultilevel"/>
    <w:tmpl w:val="731EB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82046C"/>
    <w:multiLevelType w:val="multilevel"/>
    <w:tmpl w:val="C40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3454E"/>
    <w:multiLevelType w:val="hybridMultilevel"/>
    <w:tmpl w:val="1F623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EC24EE"/>
    <w:multiLevelType w:val="multilevel"/>
    <w:tmpl w:val="061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93E9E"/>
    <w:multiLevelType w:val="multilevel"/>
    <w:tmpl w:val="0DB4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20EFC"/>
    <w:multiLevelType w:val="multilevel"/>
    <w:tmpl w:val="FB38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93B4A"/>
    <w:multiLevelType w:val="multilevel"/>
    <w:tmpl w:val="AE58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D562A"/>
    <w:multiLevelType w:val="hybridMultilevel"/>
    <w:tmpl w:val="7E146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236864"/>
    <w:multiLevelType w:val="multilevel"/>
    <w:tmpl w:val="FDB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C5A3E"/>
    <w:multiLevelType w:val="multilevel"/>
    <w:tmpl w:val="833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B4E59"/>
    <w:multiLevelType w:val="multilevel"/>
    <w:tmpl w:val="D648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C363E"/>
    <w:multiLevelType w:val="multilevel"/>
    <w:tmpl w:val="5200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9D7A5D"/>
    <w:multiLevelType w:val="multilevel"/>
    <w:tmpl w:val="121C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421F0"/>
    <w:multiLevelType w:val="multilevel"/>
    <w:tmpl w:val="522C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E7C66"/>
    <w:multiLevelType w:val="multilevel"/>
    <w:tmpl w:val="39C4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A3C6A"/>
    <w:multiLevelType w:val="multilevel"/>
    <w:tmpl w:val="29F6257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A64EC"/>
    <w:multiLevelType w:val="multilevel"/>
    <w:tmpl w:val="EE16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EA6437"/>
    <w:multiLevelType w:val="multilevel"/>
    <w:tmpl w:val="E02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901A6"/>
    <w:multiLevelType w:val="multilevel"/>
    <w:tmpl w:val="D1D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46EDC"/>
    <w:multiLevelType w:val="multilevel"/>
    <w:tmpl w:val="9DF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959AA"/>
    <w:multiLevelType w:val="multilevel"/>
    <w:tmpl w:val="0F44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454DE7"/>
    <w:multiLevelType w:val="multilevel"/>
    <w:tmpl w:val="D97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151AD"/>
    <w:multiLevelType w:val="multilevel"/>
    <w:tmpl w:val="2D02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563F5"/>
    <w:multiLevelType w:val="multilevel"/>
    <w:tmpl w:val="D724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213968"/>
    <w:multiLevelType w:val="hybridMultilevel"/>
    <w:tmpl w:val="11787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7353526"/>
    <w:multiLevelType w:val="hybridMultilevel"/>
    <w:tmpl w:val="61D6B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7B31125"/>
    <w:multiLevelType w:val="multilevel"/>
    <w:tmpl w:val="CB48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DE56B9"/>
    <w:multiLevelType w:val="multilevel"/>
    <w:tmpl w:val="65C8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C3DBA"/>
    <w:multiLevelType w:val="multilevel"/>
    <w:tmpl w:val="7B48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B76D43"/>
    <w:multiLevelType w:val="multilevel"/>
    <w:tmpl w:val="CF46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C859D3"/>
    <w:multiLevelType w:val="hybridMultilevel"/>
    <w:tmpl w:val="6CA8C51E"/>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44C450CE"/>
    <w:multiLevelType w:val="multilevel"/>
    <w:tmpl w:val="47F8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752C1C"/>
    <w:multiLevelType w:val="multilevel"/>
    <w:tmpl w:val="E464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FF16E6"/>
    <w:multiLevelType w:val="multilevel"/>
    <w:tmpl w:val="79E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E522AB"/>
    <w:multiLevelType w:val="hybridMultilevel"/>
    <w:tmpl w:val="7A523000"/>
    <w:lvl w:ilvl="0" w:tplc="50486A0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C7203C3"/>
    <w:multiLevelType w:val="multilevel"/>
    <w:tmpl w:val="018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21554"/>
    <w:multiLevelType w:val="multilevel"/>
    <w:tmpl w:val="E6A4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94B78"/>
    <w:multiLevelType w:val="multilevel"/>
    <w:tmpl w:val="DFC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F777CD"/>
    <w:multiLevelType w:val="multilevel"/>
    <w:tmpl w:val="801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C10751"/>
    <w:multiLevelType w:val="multilevel"/>
    <w:tmpl w:val="D08E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E4422B"/>
    <w:multiLevelType w:val="multilevel"/>
    <w:tmpl w:val="37122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4247E5"/>
    <w:multiLevelType w:val="hybridMultilevel"/>
    <w:tmpl w:val="A2BC9F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5DFF4797"/>
    <w:multiLevelType w:val="multilevel"/>
    <w:tmpl w:val="66AE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B12FE"/>
    <w:multiLevelType w:val="multilevel"/>
    <w:tmpl w:val="973A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4F7FC2"/>
    <w:multiLevelType w:val="multilevel"/>
    <w:tmpl w:val="108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6D0DBE"/>
    <w:multiLevelType w:val="multilevel"/>
    <w:tmpl w:val="EC44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6C487E"/>
    <w:multiLevelType w:val="hybridMultilevel"/>
    <w:tmpl w:val="91AA8A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1F53CEE"/>
    <w:multiLevelType w:val="multilevel"/>
    <w:tmpl w:val="8E86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228DF"/>
    <w:multiLevelType w:val="multilevel"/>
    <w:tmpl w:val="592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869D5"/>
    <w:multiLevelType w:val="multilevel"/>
    <w:tmpl w:val="AC7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343865"/>
    <w:multiLevelType w:val="hybridMultilevel"/>
    <w:tmpl w:val="92A06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B724D19"/>
    <w:multiLevelType w:val="multilevel"/>
    <w:tmpl w:val="0D30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0B03AB"/>
    <w:multiLevelType w:val="multilevel"/>
    <w:tmpl w:val="B7A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F63338"/>
    <w:multiLevelType w:val="multilevel"/>
    <w:tmpl w:val="580E7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7F3024"/>
    <w:multiLevelType w:val="multilevel"/>
    <w:tmpl w:val="C80CE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022DF"/>
    <w:multiLevelType w:val="multilevel"/>
    <w:tmpl w:val="18AE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4B2548"/>
    <w:multiLevelType w:val="multilevel"/>
    <w:tmpl w:val="DE48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D20F85"/>
    <w:multiLevelType w:val="multilevel"/>
    <w:tmpl w:val="3B98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177E32"/>
    <w:multiLevelType w:val="multilevel"/>
    <w:tmpl w:val="1D303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CA7095"/>
    <w:multiLevelType w:val="multilevel"/>
    <w:tmpl w:val="B2BA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D138C7"/>
    <w:multiLevelType w:val="multilevel"/>
    <w:tmpl w:val="F172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312742">
    <w:abstractNumId w:val="17"/>
  </w:num>
  <w:num w:numId="2" w16cid:durableId="1637178761">
    <w:abstractNumId w:val="64"/>
  </w:num>
  <w:num w:numId="3" w16cid:durableId="1927492059">
    <w:abstractNumId w:val="12"/>
  </w:num>
  <w:num w:numId="4" w16cid:durableId="1522208153">
    <w:abstractNumId w:val="57"/>
  </w:num>
  <w:num w:numId="5" w16cid:durableId="1847011347">
    <w:abstractNumId w:val="41"/>
  </w:num>
  <w:num w:numId="6" w16cid:durableId="1587491182">
    <w:abstractNumId w:val="14"/>
  </w:num>
  <w:num w:numId="7" w16cid:durableId="1452283387">
    <w:abstractNumId w:val="2"/>
  </w:num>
  <w:num w:numId="8" w16cid:durableId="1764104207">
    <w:abstractNumId w:val="53"/>
  </w:num>
  <w:num w:numId="9" w16cid:durableId="2099670067">
    <w:abstractNumId w:val="15"/>
  </w:num>
  <w:num w:numId="10" w16cid:durableId="1021931863">
    <w:abstractNumId w:val="33"/>
  </w:num>
  <w:num w:numId="11" w16cid:durableId="88737385">
    <w:abstractNumId w:val="8"/>
  </w:num>
  <w:num w:numId="12" w16cid:durableId="1498812456">
    <w:abstractNumId w:val="7"/>
  </w:num>
  <w:num w:numId="13" w16cid:durableId="663241508">
    <w:abstractNumId w:val="5"/>
  </w:num>
  <w:num w:numId="14" w16cid:durableId="1368457564">
    <w:abstractNumId w:val="66"/>
  </w:num>
  <w:num w:numId="15" w16cid:durableId="1363242836">
    <w:abstractNumId w:val="44"/>
  </w:num>
  <w:num w:numId="16" w16cid:durableId="1610505753">
    <w:abstractNumId w:val="27"/>
  </w:num>
  <w:num w:numId="17" w16cid:durableId="1651397177">
    <w:abstractNumId w:val="20"/>
  </w:num>
  <w:num w:numId="18" w16cid:durableId="786704970">
    <w:abstractNumId w:val="18"/>
  </w:num>
  <w:num w:numId="19" w16cid:durableId="1234854238">
    <w:abstractNumId w:val="11"/>
  </w:num>
  <w:num w:numId="20" w16cid:durableId="9723322">
    <w:abstractNumId w:val="21"/>
  </w:num>
  <w:num w:numId="21" w16cid:durableId="146943917">
    <w:abstractNumId w:val="60"/>
  </w:num>
  <w:num w:numId="22" w16cid:durableId="959343447">
    <w:abstractNumId w:val="28"/>
  </w:num>
  <w:num w:numId="23" w16cid:durableId="1490705174">
    <w:abstractNumId w:val="39"/>
  </w:num>
  <w:num w:numId="24" w16cid:durableId="365449924">
    <w:abstractNumId w:val="25"/>
  </w:num>
  <w:num w:numId="25" w16cid:durableId="1483231738">
    <w:abstractNumId w:val="48"/>
  </w:num>
  <w:num w:numId="26" w16cid:durableId="635182975">
    <w:abstractNumId w:val="10"/>
  </w:num>
  <w:num w:numId="27" w16cid:durableId="1431505345">
    <w:abstractNumId w:val="63"/>
  </w:num>
  <w:num w:numId="28" w16cid:durableId="1557856773">
    <w:abstractNumId w:val="31"/>
  </w:num>
  <w:num w:numId="29" w16cid:durableId="50690892">
    <w:abstractNumId w:val="47"/>
  </w:num>
  <w:num w:numId="30" w16cid:durableId="76366869">
    <w:abstractNumId w:val="1"/>
  </w:num>
  <w:num w:numId="31" w16cid:durableId="1846898882">
    <w:abstractNumId w:val="3"/>
  </w:num>
  <w:num w:numId="32" w16cid:durableId="964888927">
    <w:abstractNumId w:val="40"/>
  </w:num>
  <w:num w:numId="33" w16cid:durableId="1469594903">
    <w:abstractNumId w:val="52"/>
  </w:num>
  <w:num w:numId="34" w16cid:durableId="1343699969">
    <w:abstractNumId w:val="13"/>
  </w:num>
  <w:num w:numId="35" w16cid:durableId="1055349351">
    <w:abstractNumId w:val="56"/>
  </w:num>
  <w:num w:numId="36" w16cid:durableId="1359772536">
    <w:abstractNumId w:val="6"/>
  </w:num>
  <w:num w:numId="37" w16cid:durableId="988556835">
    <w:abstractNumId w:val="36"/>
  </w:num>
  <w:num w:numId="38" w16cid:durableId="2002466984">
    <w:abstractNumId w:val="61"/>
  </w:num>
  <w:num w:numId="39" w16cid:durableId="23554791">
    <w:abstractNumId w:val="38"/>
  </w:num>
  <w:num w:numId="40" w16cid:durableId="1797063307">
    <w:abstractNumId w:val="58"/>
  </w:num>
  <w:num w:numId="41" w16cid:durableId="1713967369">
    <w:abstractNumId w:val="30"/>
  </w:num>
  <w:num w:numId="42" w16cid:durableId="437529049">
    <w:abstractNumId w:val="19"/>
  </w:num>
  <w:num w:numId="43" w16cid:durableId="1915699937">
    <w:abstractNumId w:val="24"/>
  </w:num>
  <w:num w:numId="44" w16cid:durableId="2070153654">
    <w:abstractNumId w:val="55"/>
  </w:num>
  <w:num w:numId="45" w16cid:durableId="30692162">
    <w:abstractNumId w:val="54"/>
  </w:num>
  <w:num w:numId="46" w16cid:durableId="546644488">
    <w:abstractNumId w:val="43"/>
  </w:num>
  <w:num w:numId="47" w16cid:durableId="1932003131">
    <w:abstractNumId w:val="23"/>
  </w:num>
  <w:num w:numId="48" w16cid:durableId="1783569502">
    <w:abstractNumId w:val="16"/>
  </w:num>
  <w:num w:numId="49" w16cid:durableId="1583685254">
    <w:abstractNumId w:val="9"/>
  </w:num>
  <w:num w:numId="50" w16cid:durableId="43262874">
    <w:abstractNumId w:val="62"/>
  </w:num>
  <w:num w:numId="51" w16cid:durableId="1784227147">
    <w:abstractNumId w:val="34"/>
  </w:num>
  <w:num w:numId="52" w16cid:durableId="1272517025">
    <w:abstractNumId w:val="45"/>
  </w:num>
  <w:num w:numId="53" w16cid:durableId="199175230">
    <w:abstractNumId w:val="59"/>
  </w:num>
  <w:num w:numId="54" w16cid:durableId="311642811">
    <w:abstractNumId w:val="65"/>
  </w:num>
  <w:num w:numId="55" w16cid:durableId="555091046">
    <w:abstractNumId w:val="29"/>
  </w:num>
  <w:num w:numId="56" w16cid:durableId="460609146">
    <w:abstractNumId w:val="50"/>
  </w:num>
  <w:num w:numId="57" w16cid:durableId="124277089">
    <w:abstractNumId w:val="46"/>
  </w:num>
  <w:num w:numId="58" w16cid:durableId="517230673">
    <w:abstractNumId w:val="32"/>
  </w:num>
  <w:num w:numId="59" w16cid:durableId="501748408">
    <w:abstractNumId w:val="4"/>
  </w:num>
  <w:num w:numId="60" w16cid:durableId="10844970">
    <w:abstractNumId w:val="42"/>
  </w:num>
  <w:num w:numId="61" w16cid:durableId="345324740">
    <w:abstractNumId w:val="35"/>
  </w:num>
  <w:num w:numId="62" w16cid:durableId="448166620">
    <w:abstractNumId w:val="51"/>
  </w:num>
  <w:num w:numId="63" w16cid:durableId="2037999648">
    <w:abstractNumId w:val="22"/>
  </w:num>
  <w:num w:numId="64" w16cid:durableId="1265649898">
    <w:abstractNumId w:val="49"/>
  </w:num>
  <w:num w:numId="65" w16cid:durableId="241717208">
    <w:abstractNumId w:val="0"/>
  </w:num>
  <w:num w:numId="66" w16cid:durableId="463355425">
    <w:abstractNumId w:val="37"/>
  </w:num>
  <w:num w:numId="67" w16cid:durableId="16498985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059"/>
    <w:rsid w:val="00001D22"/>
    <w:rsid w:val="000563BE"/>
    <w:rsid w:val="000C6FE5"/>
    <w:rsid w:val="00177B48"/>
    <w:rsid w:val="002329D9"/>
    <w:rsid w:val="002845CA"/>
    <w:rsid w:val="00291999"/>
    <w:rsid w:val="002937CD"/>
    <w:rsid w:val="002B7846"/>
    <w:rsid w:val="002C3D4E"/>
    <w:rsid w:val="002D7231"/>
    <w:rsid w:val="0034666F"/>
    <w:rsid w:val="003972DD"/>
    <w:rsid w:val="00505396"/>
    <w:rsid w:val="00554667"/>
    <w:rsid w:val="00595E35"/>
    <w:rsid w:val="005B461A"/>
    <w:rsid w:val="00686606"/>
    <w:rsid w:val="007219F5"/>
    <w:rsid w:val="00725A01"/>
    <w:rsid w:val="00740CD4"/>
    <w:rsid w:val="00756CCC"/>
    <w:rsid w:val="00782C31"/>
    <w:rsid w:val="007B0323"/>
    <w:rsid w:val="009E1CEA"/>
    <w:rsid w:val="00A22D05"/>
    <w:rsid w:val="00A42059"/>
    <w:rsid w:val="00A42B1B"/>
    <w:rsid w:val="00AC19A5"/>
    <w:rsid w:val="00AC382D"/>
    <w:rsid w:val="00AE1E66"/>
    <w:rsid w:val="00B20917"/>
    <w:rsid w:val="00B50B80"/>
    <w:rsid w:val="00D01807"/>
    <w:rsid w:val="00D04F04"/>
    <w:rsid w:val="00D12040"/>
    <w:rsid w:val="00D57B85"/>
    <w:rsid w:val="00DA5867"/>
    <w:rsid w:val="00DB41AA"/>
    <w:rsid w:val="00E00E02"/>
    <w:rsid w:val="00EA63BE"/>
    <w:rsid w:val="00EB0ECB"/>
    <w:rsid w:val="00F507E8"/>
    <w:rsid w:val="00F578E6"/>
    <w:rsid w:val="00F966A2"/>
    <w:rsid w:val="00FC39AF"/>
    <w:rsid w:val="00FD42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947"/>
  <w15:chartTrackingRefBased/>
  <w15:docId w15:val="{2B6FA67D-C668-437C-9BBD-D75A8DDCD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3BE"/>
  </w:style>
  <w:style w:type="paragraph" w:styleId="Heading1">
    <w:name w:val="heading 1"/>
    <w:basedOn w:val="Normal"/>
    <w:next w:val="Normal"/>
    <w:link w:val="Heading1Char"/>
    <w:uiPriority w:val="9"/>
    <w:qFormat/>
    <w:rsid w:val="00A4205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205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205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2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05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205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205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2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059"/>
    <w:rPr>
      <w:rFonts w:eastAsiaTheme="majorEastAsia" w:cstheme="majorBidi"/>
      <w:color w:val="272727" w:themeColor="text1" w:themeTint="D8"/>
    </w:rPr>
  </w:style>
  <w:style w:type="paragraph" w:styleId="Title">
    <w:name w:val="Title"/>
    <w:basedOn w:val="Normal"/>
    <w:next w:val="Normal"/>
    <w:link w:val="TitleChar"/>
    <w:uiPriority w:val="10"/>
    <w:qFormat/>
    <w:rsid w:val="00A420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20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20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20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2059"/>
    <w:pPr>
      <w:spacing w:before="160"/>
      <w:jc w:val="center"/>
    </w:pPr>
    <w:rPr>
      <w:i/>
      <w:iCs/>
      <w:color w:val="404040" w:themeColor="text1" w:themeTint="BF"/>
    </w:rPr>
  </w:style>
  <w:style w:type="character" w:customStyle="1" w:styleId="QuoteChar">
    <w:name w:val="Quote Char"/>
    <w:basedOn w:val="DefaultParagraphFont"/>
    <w:link w:val="Quote"/>
    <w:uiPriority w:val="29"/>
    <w:rsid w:val="00A42059"/>
    <w:rPr>
      <w:i/>
      <w:iCs/>
      <w:color w:val="404040" w:themeColor="text1" w:themeTint="BF"/>
    </w:rPr>
  </w:style>
  <w:style w:type="paragraph" w:styleId="ListParagraph">
    <w:name w:val="List Paragraph"/>
    <w:basedOn w:val="Normal"/>
    <w:uiPriority w:val="34"/>
    <w:qFormat/>
    <w:rsid w:val="00A42059"/>
    <w:pPr>
      <w:ind w:left="720"/>
      <w:contextualSpacing/>
    </w:pPr>
  </w:style>
  <w:style w:type="character" w:styleId="IntenseEmphasis">
    <w:name w:val="Intense Emphasis"/>
    <w:basedOn w:val="DefaultParagraphFont"/>
    <w:uiPriority w:val="21"/>
    <w:qFormat/>
    <w:rsid w:val="00A42059"/>
    <w:rPr>
      <w:i/>
      <w:iCs/>
      <w:color w:val="2F5496" w:themeColor="accent1" w:themeShade="BF"/>
    </w:rPr>
  </w:style>
  <w:style w:type="paragraph" w:styleId="IntenseQuote">
    <w:name w:val="Intense Quote"/>
    <w:basedOn w:val="Normal"/>
    <w:next w:val="Normal"/>
    <w:link w:val="IntenseQuoteChar"/>
    <w:uiPriority w:val="30"/>
    <w:qFormat/>
    <w:rsid w:val="00A42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059"/>
    <w:rPr>
      <w:i/>
      <w:iCs/>
      <w:color w:val="2F5496" w:themeColor="accent1" w:themeShade="BF"/>
    </w:rPr>
  </w:style>
  <w:style w:type="character" w:styleId="IntenseReference">
    <w:name w:val="Intense Reference"/>
    <w:basedOn w:val="DefaultParagraphFont"/>
    <w:uiPriority w:val="32"/>
    <w:qFormat/>
    <w:rsid w:val="00A42059"/>
    <w:rPr>
      <w:b/>
      <w:bCs/>
      <w:smallCaps/>
      <w:color w:val="2F5496" w:themeColor="accent1" w:themeShade="BF"/>
      <w:spacing w:val="5"/>
    </w:rPr>
  </w:style>
  <w:style w:type="table" w:styleId="TableGrid">
    <w:name w:val="Table Grid"/>
    <w:basedOn w:val="TableNormal"/>
    <w:uiPriority w:val="39"/>
    <w:rsid w:val="00397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39130">
      <w:bodyDiv w:val="1"/>
      <w:marLeft w:val="0"/>
      <w:marRight w:val="0"/>
      <w:marTop w:val="0"/>
      <w:marBottom w:val="0"/>
      <w:divBdr>
        <w:top w:val="none" w:sz="0" w:space="0" w:color="auto"/>
        <w:left w:val="none" w:sz="0" w:space="0" w:color="auto"/>
        <w:bottom w:val="none" w:sz="0" w:space="0" w:color="auto"/>
        <w:right w:val="none" w:sz="0" w:space="0" w:color="auto"/>
      </w:divBdr>
    </w:div>
    <w:div w:id="446462825">
      <w:bodyDiv w:val="1"/>
      <w:marLeft w:val="0"/>
      <w:marRight w:val="0"/>
      <w:marTop w:val="0"/>
      <w:marBottom w:val="0"/>
      <w:divBdr>
        <w:top w:val="none" w:sz="0" w:space="0" w:color="auto"/>
        <w:left w:val="none" w:sz="0" w:space="0" w:color="auto"/>
        <w:bottom w:val="none" w:sz="0" w:space="0" w:color="auto"/>
        <w:right w:val="none" w:sz="0" w:space="0" w:color="auto"/>
      </w:divBdr>
    </w:div>
    <w:div w:id="919602684">
      <w:bodyDiv w:val="1"/>
      <w:marLeft w:val="0"/>
      <w:marRight w:val="0"/>
      <w:marTop w:val="0"/>
      <w:marBottom w:val="0"/>
      <w:divBdr>
        <w:top w:val="none" w:sz="0" w:space="0" w:color="auto"/>
        <w:left w:val="none" w:sz="0" w:space="0" w:color="auto"/>
        <w:bottom w:val="none" w:sz="0" w:space="0" w:color="auto"/>
        <w:right w:val="none" w:sz="0" w:space="0" w:color="auto"/>
      </w:divBdr>
    </w:div>
    <w:div w:id="1126048993">
      <w:bodyDiv w:val="1"/>
      <w:marLeft w:val="0"/>
      <w:marRight w:val="0"/>
      <w:marTop w:val="0"/>
      <w:marBottom w:val="0"/>
      <w:divBdr>
        <w:top w:val="none" w:sz="0" w:space="0" w:color="auto"/>
        <w:left w:val="none" w:sz="0" w:space="0" w:color="auto"/>
        <w:bottom w:val="none" w:sz="0" w:space="0" w:color="auto"/>
        <w:right w:val="none" w:sz="0" w:space="0" w:color="auto"/>
      </w:divBdr>
    </w:div>
    <w:div w:id="1503469883">
      <w:bodyDiv w:val="1"/>
      <w:marLeft w:val="0"/>
      <w:marRight w:val="0"/>
      <w:marTop w:val="0"/>
      <w:marBottom w:val="0"/>
      <w:divBdr>
        <w:top w:val="none" w:sz="0" w:space="0" w:color="auto"/>
        <w:left w:val="none" w:sz="0" w:space="0" w:color="auto"/>
        <w:bottom w:val="none" w:sz="0" w:space="0" w:color="auto"/>
        <w:right w:val="none" w:sz="0" w:space="0" w:color="auto"/>
      </w:divBdr>
    </w:div>
    <w:div w:id="1576547773">
      <w:bodyDiv w:val="1"/>
      <w:marLeft w:val="0"/>
      <w:marRight w:val="0"/>
      <w:marTop w:val="0"/>
      <w:marBottom w:val="0"/>
      <w:divBdr>
        <w:top w:val="none" w:sz="0" w:space="0" w:color="auto"/>
        <w:left w:val="none" w:sz="0" w:space="0" w:color="auto"/>
        <w:bottom w:val="none" w:sz="0" w:space="0" w:color="auto"/>
        <w:right w:val="none" w:sz="0" w:space="0" w:color="auto"/>
      </w:divBdr>
    </w:div>
    <w:div w:id="1719157839">
      <w:bodyDiv w:val="1"/>
      <w:marLeft w:val="0"/>
      <w:marRight w:val="0"/>
      <w:marTop w:val="0"/>
      <w:marBottom w:val="0"/>
      <w:divBdr>
        <w:top w:val="none" w:sz="0" w:space="0" w:color="auto"/>
        <w:left w:val="none" w:sz="0" w:space="0" w:color="auto"/>
        <w:bottom w:val="none" w:sz="0" w:space="0" w:color="auto"/>
        <w:right w:val="none" w:sz="0" w:space="0" w:color="auto"/>
      </w:divBdr>
    </w:div>
    <w:div w:id="204305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F8761-7287-4B5B-97FD-2BEFCF83E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Jagdale</dc:creator>
  <cp:keywords/>
  <dc:description/>
  <cp:lastModifiedBy>Jeevesh Pandey</cp:lastModifiedBy>
  <cp:revision>2</cp:revision>
  <dcterms:created xsi:type="dcterms:W3CDTF">2026-04-05T19:31:00Z</dcterms:created>
  <dcterms:modified xsi:type="dcterms:W3CDTF">2026-04-05T19:31:00Z</dcterms:modified>
</cp:coreProperties>
</file>