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019" w:rsidRPr="00B21019" w:rsidRDefault="00B21019" w:rsidP="00B210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BANK LOAN REPORT</w: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32"/>
          <w:szCs w:val="36"/>
          <w:lang w:eastAsia="en-IN"/>
        </w:rPr>
        <w:t>TERMINOLOGIES USED IN DATA</w: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Loan ID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Loan ID is a unique identifier assigned to each loan application or loan account. It serves as a primary key for tracking and managing individual loans.</w:t>
      </w:r>
    </w:p>
    <w:p w:rsid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Loan IDs to efficiently manage and track loans throughout their lifecycle. It helps in organizing loan records, monitoring repayments, and addressing customer inquiries.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Address State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Address State indicates the borrower’s state of residence. It helps assess regional risk factors, comply with state-level regulations, and analyse default probabilities across locations.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this information to identify regional trends in loan demand, optimize marketing strategies, and manage geographic risk exposure.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Employment Length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Employment Length indicates the duration of the borrower’s employment, providing insight into job stability. Longer employment duration often suggests greater financial stability.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consider employment length when assessing repayment capacity, as stable employment is generally associated with lower default risk.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Employment Title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Employment Title specifies the borrower’s occupation or job role, helping lenders understand the source and nature of income.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this field to validate income sources, assess financial capacity, and analyse risk patterns across different professions.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Grade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Grade represents a risk classification assigned to a loan based on the borrower’s credit profile. Higher grades typically indicate lower credit risk.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grades to price loans, determine interest rates, and manage overall portfolio risk. Higher-grade loans usually carry lower interest rates.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Sub Grade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Sub Grade provides a more detailed risk classification within a grade, allowing finer differentiation of borrower risk.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sub-grades to further refine pricing, lending terms, and risk assessment strategies.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Home Ownership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Home Ownership indicates the borrower’s housing status (e.g., own, rent, mortgage) and reflects financial stability.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this information to assess borrower stability and potential collateral strength, as homeowners often exhibit lower default rates.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Issue Date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Issue Date represents the date on which the loan was originated. It is essential for loan lifecycle tracking.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issue dates to track loan aging, calculate interest accruals, and manage portfolio maturity timelines.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Last Credit Pull Date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Last Credit Pull Date indicates when the borrower’s credit report was most recently accessed.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this date to monitor credit updates, assess changes in creditworthiness, and support informed lending decisions.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Last Payment Date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Last Payment Date records the most recent payment received from the borrower.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this field to monitor payment behaviour, identify delinquencies, and evaluate repayment consistency.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Loan Status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Loan Status indicates the current condition of the loan (e.g., Fully Paid, Current, Charged Off).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loan status to track loan performance, classify loans for risk analysis, and determine provisioning and recovery actions.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Next Payment Date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Next Payment Date represents the scheduled date of the borrower’s upcoming payment.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this date for cash flow forecasting, liquidity planning, and payment monitoring.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lastRenderedPageBreak/>
        <w:t>Purpose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Purpose specifies the reason for borrowing (e.g., debt consolidation, education, home improvement).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this information to segment loans, analyse borrower intent, and design targeted loan products.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Term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Term defines the loan duration, usually expressed in months (e.g., 36 or 60 months).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the term to calculate instalments, interest payments, and manage loan maturity schedules.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Verification Status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Verification Status indicates whether borrower information (such as income) has been verified.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this field to assess data reliability and application credibility, reducing fraud and risk exposure.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Annual Income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Annual Income reflects the borrower’s total yearly earnings and indicates repayment capability.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this figure to assess loan eligibility, calculate debt ratios, and evaluate creditworthiness.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lastRenderedPageBreak/>
        <w:t>DTI (Debt-to-Income Ratio)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DTI measures the borrower’s total monthly debt obligations relative to income.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DTI to assess the borrower’s ability to manage additional debt and ensure responsible lending.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Instalment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Instalment refers to the fixed periodic payment amount, including both principal and interest.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instalment values to assess affordability, structure repayment schedules, and estimate cash inflows.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Interest Rate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Interest Rate represents the annual cost of borrowing, expressed as a percentage.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interest rates to price loans, manage profitability, and balance risk and return.</w:t>
      </w:r>
    </w:p>
    <w:p w:rsidR="00B21019" w:rsidRPr="00B21019" w:rsidRDefault="00B21019" w:rsidP="00B210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21019" w:rsidRPr="00B21019" w:rsidRDefault="00B21019" w:rsidP="00B210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</w:pPr>
      <w:bookmarkStart w:id="0" w:name="_GoBack"/>
      <w:r w:rsidRPr="00B21019"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7"/>
          <w:szCs w:val="27"/>
          <w:u w:val="single"/>
          <w:lang w:eastAsia="en-IN"/>
        </w:rPr>
        <w:t>Loan Amount</w:t>
      </w:r>
    </w:p>
    <w:bookmarkEnd w:id="0"/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Loan Amount is the total principal amount borrowed by the applicant.</w:t>
      </w:r>
    </w:p>
    <w:p w:rsidR="00B21019" w:rsidRPr="00B21019" w:rsidRDefault="00B21019" w:rsidP="00B21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for Banks</w:t>
      </w:r>
      <w:proofErr w:type="gramStart"/>
      <w:r w:rsidRPr="00B210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210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Banks use loan amounts to determine exposure, calculate interest, and manage lending limits.</w:t>
      </w:r>
    </w:p>
    <w:p w:rsidR="007A2AAC" w:rsidRDefault="007A2AAC"/>
    <w:sectPr w:rsidR="007A2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1019"/>
    <w:rsid w:val="007A2AAC"/>
    <w:rsid w:val="00B2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10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10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10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10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10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210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1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10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10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10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10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10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210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1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0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CVNS</dc:creator>
  <cp:lastModifiedBy>CVNS</cp:lastModifiedBy>
  <cp:revision>1</cp:revision>
  <dcterms:created xsi:type="dcterms:W3CDTF">2026-01-16T08:36:00Z</dcterms:created>
  <dcterms:modified xsi:type="dcterms:W3CDTF">2026-01-16T08:41:00Z</dcterms:modified>
</cp:coreProperties>
</file>