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Arrowstreet Capital — Hiring Manager Interview Prep</w:t>
      </w:r>
    </w:p>
    <w:p>
      <w:pPr>
        <w:spacing w:after="240"/>
      </w:pPr>
      <w:r>
        <w:rPr>
          <w:color w:val="555555"/>
          <w:sz w:val="22"/>
          <w:szCs w:val="22"/>
        </w:rPr>
        <w:t xml:space="preserve">Senior Software Engineer, Investment Data Systems | Boston</w:t>
      </w:r>
    </w:p>
    <w:p>
      <w:pPr>
        <w:pStyle w:val="Heading2"/>
        <w:pBdr>
          <w:bottom w:val="single" w:color="1F3864" w:sz="6" w:space="4"/>
        </w:pBdr>
        <w:spacing w:after="120" w:before="320"/>
      </w:pPr>
      <w:r>
        <w:rPr>
          <w:b/>
          <w:bCs/>
          <w:color w:val="1F3864"/>
          <w:sz w:val="26"/>
          <w:szCs w:val="26"/>
        </w:rPr>
        <w:t xml:space="preserve">1. AWS Cloud-Native Design</w:t>
      </w:r>
    </w:p>
    <w:p>
      <w:pPr>
        <w:spacing w:after="160"/>
      </w:pPr>
      <w:r>
        <w:rPr>
          <w:i/>
          <w:iCs/>
          <w:color w:val="555555"/>
          <w:sz w:val="21"/>
          <w:szCs w:val="21"/>
        </w:rPr>
        <w:t xml:space="preserve">JD calls out S3, Lambda, ALB, Cloudwatch, SNS specifically — expect them to probe how you've actually used these, not just that you have them on a resume.</w:t>
      </w:r>
    </w:p>
    <w:p>
      <w:pPr>
        <w:pStyle w:val="ListParagraph"/>
        <w:numPr>
          <w:ilvl w:val="0"/>
          <w:numId w:val="2"/>
        </w:numPr>
        <w:spacing w:after="60"/>
      </w:pPr>
      <w:r>
        <w:rPr>
          <w:b/>
          <w:bCs/>
          <w:sz w:val="22"/>
          <w:szCs w:val="22"/>
        </w:rPr>
        <w:t xml:space="preserve">Reconcile pipeline walkthrough: </w:t>
      </w:r>
      <w:r>
        <w:rPr>
          <w:sz w:val="22"/>
          <w:szCs w:val="22"/>
        </w:rPr>
        <w:t xml:space="preserve">be ready to go deep on the reconcile Lambda + SQS design from the Gen2→Gen3 migration — triggers, error handling, retries, idempotency.</w:t>
      </w:r>
    </w:p>
    <w:p>
      <w:pPr>
        <w:pStyle w:val="ListParagraph"/>
        <w:numPr>
          <w:ilvl w:val="0"/>
          <w:numId w:val="2"/>
        </w:numPr>
        <w:spacing w:after="60"/>
      </w:pPr>
      <w:r>
        <w:rPr>
          <w:b/>
          <w:bCs/>
          <w:sz w:val="22"/>
          <w:szCs w:val="22"/>
        </w:rPr>
        <w:t xml:space="preserve">Lambda vs. long-running service: </w:t>
      </w:r>
      <w:r>
        <w:rPr>
          <w:sz w:val="22"/>
          <w:szCs w:val="22"/>
        </w:rPr>
        <w:t xml:space="preserve">know why you chose Lambda (cost, scaling, cold starts) and when you'd choose differently.</w:t>
      </w:r>
    </w:p>
    <w:p>
      <w:pPr>
        <w:pStyle w:val="ListParagraph"/>
        <w:numPr>
          <w:ilvl w:val="0"/>
          <w:numId w:val="2"/>
        </w:numPr>
        <w:spacing w:after="60"/>
      </w:pPr>
      <w:r>
        <w:rPr>
          <w:b/>
          <w:bCs/>
          <w:sz w:val="22"/>
          <w:szCs w:val="22"/>
        </w:rPr>
        <w:t xml:space="preserve">Monitoring &amp; alerting: </w:t>
      </w:r>
      <w:r>
        <w:rPr>
          <w:sz w:val="22"/>
          <w:szCs w:val="22"/>
        </w:rPr>
        <w:t xml:space="preserve">be ready to describe how you'd monitor a production pipeline with Cloudwatch — metrics, alarms, log insights.</w:t>
      </w:r>
    </w:p>
    <w:p>
      <w:pPr>
        <w:pStyle w:val="ListParagraph"/>
        <w:numPr>
          <w:ilvl w:val="0"/>
          <w:numId w:val="2"/>
        </w:numPr>
        <w:spacing w:after="60"/>
      </w:pPr>
      <w:r>
        <w:rPr>
          <w:b/>
          <w:bCs/>
          <w:sz w:val="22"/>
          <w:szCs w:val="22"/>
        </w:rPr>
        <w:t xml:space="preserve">SNS/SQS fan-out: </w:t>
      </w:r>
      <w:r>
        <w:rPr>
          <w:sz w:val="22"/>
          <w:szCs w:val="22"/>
        </w:rPr>
        <w:t xml:space="preserve">think through fan-out patterns even without direct SNS experience — map over from your SQS work.</w:t>
      </w:r>
    </w:p>
    <w:p>
      <w:pPr>
        <w:pStyle w:val="Heading2"/>
        <w:pBdr>
          <w:bottom w:val="single" w:color="1F3864" w:sz="6" w:space="4"/>
        </w:pBdr>
        <w:spacing w:after="120" w:before="320"/>
      </w:pPr>
      <w:r>
        <w:rPr>
          <w:b/>
          <w:bCs/>
          <w:color w:val="1F3864"/>
          <w:sz w:val="26"/>
          <w:szCs w:val="26"/>
        </w:rPr>
        <w:t xml:space="preserve">2. Tradeoff &amp; System Design Reasoning</w:t>
      </w:r>
    </w:p>
    <w:p>
      <w:pPr>
        <w:spacing w:after="160"/>
      </w:pPr>
      <w:r>
        <w:rPr>
          <w:i/>
          <w:iCs/>
          <w:color w:val="555555"/>
          <w:sz w:val="21"/>
          <w:szCs w:val="21"/>
        </w:rPr>
        <w:t xml:space="preserve">The “tradeoffs” framing likely means whiteboard-style questions: given a constraint, what would you do and why. They want to see your reasoning process, not a memorized answer.</w:t>
      </w:r>
    </w:p>
    <w:p>
      <w:pPr>
        <w:pStyle w:val="ListParagraph"/>
        <w:numPr>
          <w:ilvl w:val="0"/>
          <w:numId w:val="2"/>
        </w:numPr>
        <w:spacing w:after="60"/>
      </w:pPr>
      <w:r>
        <w:rPr>
          <w:b/>
          <w:bCs/>
          <w:sz w:val="22"/>
          <w:szCs w:val="22"/>
        </w:rPr>
        <w:t xml:space="preserve">Step Functions redesign: </w:t>
      </w:r>
      <w:r>
        <w:rPr>
          <w:sz w:val="22"/>
          <w:szCs w:val="22"/>
        </w:rPr>
        <w:t xml:space="preserve">re-walk the V2 redesign — what alternatives you considered (Lambda orchestration, cron, state machine) and why Step Functions won.</w:t>
      </w:r>
    </w:p>
    <w:p>
      <w:pPr>
        <w:pStyle w:val="ListParagraph"/>
        <w:numPr>
          <w:ilvl w:val="0"/>
          <w:numId w:val="2"/>
        </w:numPr>
        <w:spacing w:after="60"/>
      </w:pPr>
      <w:r>
        <w:rPr>
          <w:b/>
          <w:bCs/>
          <w:sz w:val="22"/>
          <w:szCs w:val="22"/>
        </w:rPr>
        <w:t xml:space="preserve">Build vs. buy: </w:t>
      </w:r>
      <w:r>
        <w:rPr>
          <w:sz w:val="22"/>
          <w:szCs w:val="22"/>
        </w:rPr>
        <w:t xml:space="preserve">practice articulating this using the Payee experience build on an externally-owned platform — what were the constraints and how did you navigate them.</w:t>
      </w:r>
    </w:p>
    <w:p>
      <w:pPr>
        <w:pStyle w:val="ListParagraph"/>
        <w:numPr>
          <w:ilvl w:val="0"/>
          <w:numId w:val="2"/>
        </w:numPr>
        <w:spacing w:after="60"/>
      </w:pPr>
      <w:r>
        <w:rPr>
          <w:b/>
          <w:bCs/>
          <w:sz w:val="22"/>
          <w:szCs w:val="22"/>
        </w:rPr>
        <w:t xml:space="preserve">Zero-downtime migration tradeoffs: </w:t>
      </w:r>
      <w:r>
        <w:rPr>
          <w:sz w:val="22"/>
          <w:szCs w:val="22"/>
        </w:rPr>
        <w:t xml:space="preserve">prepare a story around consistency vs. availability, sync vs. async reconciliation.</w:t>
      </w:r>
    </w:p>
    <w:p>
      <w:pPr>
        <w:pStyle w:val="ListParagraph"/>
        <w:numPr>
          <w:ilvl w:val="0"/>
          <w:numId w:val="2"/>
        </w:numPr>
        <w:spacing w:after="60"/>
      </w:pPr>
      <w:r>
        <w:rPr>
          <w:b/>
          <w:bCs/>
          <w:sz w:val="22"/>
          <w:szCs w:val="22"/>
        </w:rPr>
        <w:t xml:space="preserve">Live design prompt: </w:t>
      </w:r>
      <w:r>
        <w:rPr>
          <w:sz w:val="22"/>
          <w:szCs w:val="22"/>
        </w:rPr>
        <w:t xml:space="preserve">be ready for an on-the-spot 'design X' question in the investment data domain (e.g., a pipeline ingesting market/position data) — think ordering, idempotency, backpressure.</w:t>
      </w:r>
    </w:p>
    <w:p>
      <w:pPr>
        <w:pStyle w:val="Heading2"/>
        <w:pBdr>
          <w:bottom w:val="single" w:color="1F3864" w:sz="6" w:space="4"/>
        </w:pBdr>
        <w:spacing w:after="120" w:before="320"/>
      </w:pPr>
      <w:r>
        <w:rPr>
          <w:b/>
          <w:bCs/>
          <w:color w:val="1F3864"/>
          <w:sz w:val="26"/>
          <w:szCs w:val="26"/>
        </w:rPr>
        <w:t xml:space="preserve">3. Python / C# Depth &amp; Engineering Practices</w:t>
      </w:r>
    </w:p>
    <w:p>
      <w:pPr>
        <w:spacing w:after="160"/>
      </w:pPr>
      <w:r>
        <w:rPr>
          <w:i/>
          <w:iCs/>
          <w:color w:val="555555"/>
          <w:sz w:val="21"/>
          <w:szCs w:val="21"/>
        </w:rPr>
        <w:t xml:space="preserve">JD explicitly lists unit testing, isolation frameworks, and BDD/DDD — this is a hands-on shop, so expect code-level questions.</w:t>
      </w:r>
    </w:p>
    <w:p>
      <w:pPr>
        <w:pStyle w:val="ListParagraph"/>
        <w:numPr>
          <w:ilvl w:val="0"/>
          <w:numId w:val="2"/>
        </w:numPr>
        <w:spacing w:after="60"/>
      </w:pPr>
      <w:r>
        <w:rPr>
          <w:b/>
          <w:bCs/>
          <w:sz w:val="22"/>
          <w:szCs w:val="22"/>
        </w:rPr>
        <w:t xml:space="preserve">PriceDivergenceMonitor (C#): </w:t>
      </w:r>
      <w:r>
        <w:rPr>
          <w:sz w:val="22"/>
          <w:szCs w:val="22"/>
        </w:rPr>
        <w:t xml:space="preserve">review this project and be ready to talk through the design and testing approach.</w:t>
      </w:r>
    </w:p>
    <w:p>
      <w:pPr>
        <w:pStyle w:val="ListParagraph"/>
        <w:numPr>
          <w:ilvl w:val="0"/>
          <w:numId w:val="2"/>
        </w:numPr>
        <w:spacing w:after="60"/>
      </w:pPr>
      <w:r>
        <w:rPr>
          <w:b/>
          <w:bCs/>
          <w:sz w:val="22"/>
          <w:szCs w:val="22"/>
        </w:rPr>
        <w:t xml:space="preserve">Mocking / isolation frameworks: </w:t>
      </w:r>
      <w:r>
        <w:rPr>
          <w:sz w:val="22"/>
          <w:szCs w:val="22"/>
        </w:rPr>
        <w:t xml:space="preserve">brush up on Moq (C#) and unittest.mock / pytest (Python), since it's explicitly listed in the JD.</w:t>
      </w:r>
    </w:p>
    <w:p>
      <w:pPr>
        <w:pStyle w:val="ListParagraph"/>
        <w:numPr>
          <w:ilvl w:val="0"/>
          <w:numId w:val="2"/>
        </w:numPr>
        <w:spacing w:after="60"/>
      </w:pPr>
      <w:r>
        <w:rPr>
          <w:b/>
          <w:bCs/>
          <w:sz w:val="22"/>
          <w:szCs w:val="22"/>
        </w:rPr>
        <w:t xml:space="preserve">Testable code example: </w:t>
      </w:r>
      <w:r>
        <w:rPr>
          <w:sz w:val="22"/>
          <w:szCs w:val="22"/>
        </w:rPr>
        <w:t xml:space="preserve">have a concrete example of structuring code for dependency injection or clean seams.</w:t>
      </w:r>
    </w:p>
    <w:p>
      <w:pPr>
        <w:pStyle w:val="ListParagraph"/>
        <w:numPr>
          <w:ilvl w:val="0"/>
          <w:numId w:val="2"/>
        </w:numPr>
        <w:spacing w:after="60"/>
      </w:pPr>
      <w:r>
        <w:rPr>
          <w:b/>
          <w:bCs/>
          <w:sz w:val="22"/>
          <w:szCs w:val="22"/>
        </w:rPr>
        <w:t xml:space="preserve">DDD/BDD basics: </w:t>
      </w:r>
      <w:r>
        <w:rPr>
          <w:sz w:val="22"/>
          <w:szCs w:val="22"/>
        </w:rPr>
        <w:t xml:space="preserve">skim if rusty — they may ask how you'd model a domain object or write a Gherkin-style spec.</w:t>
      </w:r>
    </w:p>
    <w:p>
      <w:pPr>
        <w:pStyle w:val="Heading2"/>
        <w:pBdr>
          <w:bottom w:val="single" w:color="1F3864" w:sz="6" w:space="4"/>
        </w:pBdr>
        <w:spacing w:after="120" w:before="320"/>
      </w:pPr>
      <w:r>
        <w:rPr>
          <w:b/>
          <w:bCs/>
          <w:color w:val="1F3864"/>
          <w:sz w:val="26"/>
          <w:szCs w:val="26"/>
        </w:rPr>
        <w:t xml:space="preserve">4. Full-Stack &amp; Production Ownership</w:t>
      </w:r>
    </w:p>
    <w:p>
      <w:pPr>
        <w:spacing w:after="160"/>
      </w:pPr>
      <w:r>
        <w:rPr>
          <w:i/>
          <w:iCs/>
          <w:color w:val="555555"/>
          <w:sz w:val="21"/>
          <w:szCs w:val="21"/>
        </w:rPr>
        <w:t xml:space="preserve">React experience matches directly; production escalation support is explicitly called out as a responsibility in the JD.</w:t>
      </w:r>
    </w:p>
    <w:p>
      <w:pPr>
        <w:pStyle w:val="ListParagraph"/>
        <w:numPr>
          <w:ilvl w:val="0"/>
          <w:numId w:val="2"/>
        </w:numPr>
        <w:spacing w:after="60"/>
      </w:pPr>
      <w:r>
        <w:rPr>
          <w:b/>
          <w:bCs/>
          <w:sz w:val="22"/>
          <w:szCs w:val="22"/>
        </w:rPr>
        <w:t xml:space="preserve">CI/CD story: </w:t>
      </w:r>
      <w:r>
        <w:rPr>
          <w:sz w:val="22"/>
          <w:szCs w:val="22"/>
        </w:rPr>
        <w:t xml:space="preserve">use the Optimizely feature-flag work as your safe-deployment / CI-CD example.</w:t>
      </w:r>
    </w:p>
    <w:p>
      <w:pPr>
        <w:pStyle w:val="ListParagraph"/>
        <w:numPr>
          <w:ilvl w:val="0"/>
          <w:numId w:val="2"/>
        </w:numPr>
        <w:spacing w:after="60"/>
      </w:pPr>
      <w:r>
        <w:rPr>
          <w:b/>
          <w:bCs/>
          <w:sz w:val="22"/>
          <w:szCs w:val="22"/>
        </w:rPr>
        <w:t xml:space="preserve">Production incident story: </w:t>
      </w:r>
      <w:r>
        <w:rPr>
          <w:sz w:val="22"/>
          <w:szCs w:val="22"/>
        </w:rPr>
        <w:t xml:space="preserve">downstream third-party dependency started experiencing latency. Detected via latency/500 alerts → bumped desired task count as an immediate stopgap → used OTEL tracing to isolate the slow call → correlated with Cloudwatch showing tasks CPU-pegged and failing health checks → root-caused it as a retry storm (retries against the slow downstream compounding load without completing useful work, starving CPU/threads for everything sharing that task) → fixed autoscaling to scale on a different metric than raw CPU and corrected the ALB configuration → ran Hercules/K2 load tests, overdue since onboarding new use cases → isolated the flaky third-party dependency into its own container so a future retry storm can't cascade into unrelated traffic (bulkhead pattern).</w:t>
      </w:r>
    </w:p>
    <w:p>
      <w:pPr>
        <w:pStyle w:val="ListParagraph"/>
        <w:numPr>
          <w:ilvl w:val="0"/>
          <w:numId w:val="2"/>
        </w:numPr>
        <w:spacing w:after="60"/>
      </w:pPr>
      <w:r>
        <w:rPr>
          <w:b/>
          <w:bCs/>
          <w:sz w:val="22"/>
          <w:szCs w:val="22"/>
        </w:rPr>
        <w:t xml:space="preserve">React vs. Angular: </w:t>
      </w:r>
      <w:r>
        <w:rPr>
          <w:sz w:val="22"/>
          <w:szCs w:val="22"/>
        </w:rPr>
        <w:t xml:space="preserve">connect your React work on the Payee build to their Angular/React requirement; be upfront that you're stronger in React and don't overclaim Angular depth.</w:t>
      </w:r>
    </w:p>
    <w:p>
      <w:pPr>
        <w:pStyle w:val="ListParagraph"/>
        <w:numPr>
          <w:ilvl w:val="0"/>
          <w:numId w:val="2"/>
        </w:numPr>
        <w:spacing w:after="60"/>
      </w:pPr>
      <w:r>
        <w:rPr>
          <w:b/>
          <w:bCs/>
          <w:sz w:val="22"/>
          <w:szCs w:val="22"/>
        </w:rPr>
        <w:t xml:space="preserve">Cross-team collaboration: </w:t>
      </w:r>
      <w:r>
        <w:rPr>
          <w:sz w:val="22"/>
          <w:szCs w:val="22"/>
        </w:rPr>
        <w:t xml:space="preserve">think about how documentation and working with DBAs, network engineers, and vendors showed up in your Capital One work.</w:t>
      </w:r>
    </w:p>
    <w:p>
      <w:pPr>
        <w:pStyle w:val="Heading2"/>
        <w:pBdr>
          <w:bottom w:val="single" w:color="1F3864" w:sz="6" w:space="4"/>
        </w:pBdr>
        <w:spacing w:after="120" w:before="320"/>
      </w:pPr>
      <w:r>
        <w:rPr>
          <w:b/>
          <w:bCs/>
          <w:color w:val="1F3864"/>
          <w:sz w:val="26"/>
          <w:szCs w:val="26"/>
        </w:rPr>
        <w:t xml:space="preserve">Other Things to Prep</w:t>
      </w:r>
    </w:p>
    <w:p>
      <w:pPr>
        <w:pStyle w:val="ListParagraph"/>
        <w:numPr>
          <w:ilvl w:val="0"/>
          <w:numId w:val="2"/>
        </w:numPr>
        <w:spacing w:after="60"/>
      </w:pPr>
      <w:r>
        <w:rPr>
          <w:b/>
          <w:bCs/>
          <w:sz w:val="22"/>
          <w:szCs w:val="22"/>
        </w:rPr>
        <w:t xml:space="preserve">Domain angle: </w:t>
      </w:r>
      <w:r>
        <w:rPr>
          <w:sz w:val="22"/>
          <w:szCs w:val="22"/>
        </w:rPr>
        <w:t xml:space="preserve">this team automates investment processes, not general banking — think about what “data systems” means for a hedge fund (positions, market data, reconciliation between systems). The reconcile-Lambda story is a strong bridge here.</w:t>
      </w:r>
    </w:p>
    <w:p>
      <w:pPr>
        <w:pStyle w:val="ListParagraph"/>
        <w:numPr>
          <w:ilvl w:val="0"/>
          <w:numId w:val="2"/>
        </w:numPr>
        <w:spacing w:after="60"/>
      </w:pPr>
      <w:r>
        <w:rPr>
          <w:b/>
          <w:bCs/>
          <w:sz w:val="22"/>
          <w:szCs w:val="22"/>
        </w:rPr>
        <w:t xml:space="preserve">Questions for them: </w:t>
      </w:r>
      <w:r>
        <w:rPr>
          <w:sz w:val="22"/>
          <w:szCs w:val="22"/>
        </w:rPr>
        <w:t xml:space="preserve">prepare 2–3 genuine questions about tradeoffs they've made — e.g. “custom development vs. packaged platforms” is literally in the JD's first paragraph, so ask how they decide between the two.</w:t>
      </w:r>
    </w:p>
    <w:p>
      <w:pPr>
        <w:pStyle w:val="ListParagraph"/>
        <w:numPr>
          <w:ilvl w:val="0"/>
          <w:numId w:val="2"/>
        </w:numPr>
        <w:spacing w:after="60"/>
      </w:pPr>
      <w:r>
        <w:rPr>
          <w:b/>
          <w:bCs/>
          <w:sz w:val="22"/>
          <w:szCs w:val="22"/>
        </w:rPr>
        <w:t xml:space="preserve">Python vs. C#: </w:t>
      </w:r>
      <w:r>
        <w:rPr>
          <w:sz w:val="22"/>
          <w:szCs w:val="22"/>
        </w:rPr>
        <w:t xml:space="preserve">the JD lists both; your recent hands-on depth is heavier in Python/Java. If they lean into C#, be upfront about where your depth actually is rather than overselling the PriceDivergenceMonitor exercise as production experience.</w:t>
      </w:r>
    </w:p>
    <w:p>
      <w:pPr>
        <w:spacing w:before="200"/>
      </w:pPr>
      <w:r>
        <w:br/>
        <w:t xml:space="preserve"/>
      </w:r>
    </w:p>
    <w:p>
      <w:pPr>
        <w:pStyle w:val="Heading2"/>
        <w:pBdr>
          <w:bottom w:val="single" w:color="1F3864" w:sz="6" w:space="4"/>
        </w:pBdr>
        <w:spacing w:after="120" w:before="320"/>
      </w:pPr>
      <w:r>
        <w:rPr>
          <w:b/>
          <w:bCs/>
          <w:color w:val="1F3864"/>
          <w:sz w:val="26"/>
          <w:szCs w:val="26"/>
        </w:rPr>
        <w:t xml:space="preserve">5. Gen2→Gen3 Migration — Background &amp; Technical Reference</w:t>
      </w:r>
    </w:p>
    <w:p>
      <w:pPr>
        <w:pStyle w:val="Heading3"/>
        <w:spacing w:after="80" w:before="200"/>
      </w:pPr>
      <w:r>
        <w:rPr>
          <w:b/>
          <w:bCs/>
          <w:sz w:val="23"/>
          <w:szCs w:val="23"/>
        </w:rPr>
        <w:t xml:space="preserve">What a “Gen2 → Gen3” AWS account migration is (general concept)</w:t>
      </w:r>
    </w:p>
    <w:p>
      <w:pPr>
        <w:spacing w:after="120"/>
      </w:pPr>
      <w:r>
        <w:rPr>
          <w:sz w:val="22"/>
          <w:szCs w:val="22"/>
        </w:rPr>
        <w:t xml:space="preserve">Large organizations periodically re-architect the AWS account structure (“landing zone”) that all their applications run in, as their cloud practices mature. “Gen2” and “Gen3” typically refer to successive generations of that account framework — not a change to any single application, but a change to the foundation it sits on: account boundaries, IAM/guardrail policies, networking, encryption standards, tagging and governance conventions, and shared tooling.</w:t>
      </w:r>
    </w:p>
    <w:p>
      <w:pPr>
        <w:spacing w:after="120"/>
      </w:pPr>
      <w:r>
        <w:rPr>
          <w:sz w:val="22"/>
          <w:szCs w:val="22"/>
        </w:rPr>
        <w:t xml:space="preserve">In this case, the driver was account-level blast-radius reduction and tooling access:</w:t>
      </w:r>
    </w:p>
    <w:p>
      <w:pPr>
        <w:pStyle w:val="ListParagraph"/>
        <w:numPr>
          <w:ilvl w:val="0"/>
          <w:numId w:val="2"/>
        </w:numPr>
        <w:spacing w:after="60"/>
      </w:pPr>
      <w:r>
        <w:rPr>
          <w:b/>
          <w:bCs/>
          <w:sz w:val="22"/>
          <w:szCs w:val="22"/>
        </w:rPr>
        <w:t xml:space="preserve">Smaller, more scoped accounts: </w:t>
      </w:r>
      <w:r>
        <w:rPr>
          <w:sz w:val="22"/>
          <w:szCs w:val="22"/>
        </w:rPr>
        <w:t xml:space="preserve">Gen3 broke large, multi-purpose Gen2 accounts into smaller, more narrowly-scoped ones. If one account is compromised, misconfigured, or hits a service limit, the blast radius is contained to a much smaller slice of the org instead of everything sharing that account.</w:t>
      </w:r>
    </w:p>
    <w:p>
      <w:pPr>
        <w:pStyle w:val="ListParagraph"/>
        <w:numPr>
          <w:ilvl w:val="0"/>
          <w:numId w:val="2"/>
        </w:numPr>
        <w:spacing w:after="60"/>
      </w:pPr>
      <w:r>
        <w:rPr>
          <w:b/>
          <w:bCs/>
          <w:sz w:val="22"/>
          <w:szCs w:val="22"/>
        </w:rPr>
        <w:t xml:space="preserve">Access to newer AWS tooling: </w:t>
      </w:r>
      <w:r>
        <w:rPr>
          <w:sz w:val="22"/>
          <w:szCs w:val="22"/>
        </w:rPr>
        <w:t xml:space="preserve">Gen2 accounts were on an older account framework that didn't support certain services cleanly — Fargate being a concrete example. Moving to Gen3 unlocked those tools for teams that needed them.</w:t>
      </w:r>
    </w:p>
    <w:p>
      <w:pPr>
        <w:pStyle w:val="ListParagraph"/>
        <w:numPr>
          <w:ilvl w:val="0"/>
          <w:numId w:val="2"/>
        </w:numPr>
        <w:spacing w:after="60"/>
      </w:pPr>
      <w:r>
        <w:rPr>
          <w:b/>
          <w:bCs/>
          <w:sz w:val="22"/>
          <w:szCs w:val="22"/>
        </w:rPr>
        <w:t xml:space="preserve">Net effect: </w:t>
      </w:r>
      <w:r>
        <w:rPr>
          <w:sz w:val="22"/>
          <w:szCs w:val="22"/>
        </w:rPr>
        <w:t xml:space="preserve">this is fundamentally a security/isolation-driven and capability-driven migration, not a cost or reorg-driven one — worth being precise about that distinction if asked why the migration happened.</w:t>
      </w:r>
    </w:p>
    <w:p>
      <w:pPr>
        <w:spacing w:after="160" w:before="100"/>
      </w:pPr>
      <w:r>
        <w:rPr>
          <w:i/>
          <w:iCs/>
          <w:color w:val="555555"/>
          <w:sz w:val="22"/>
          <w:szCs w:val="22"/>
        </w:rPr>
        <w:t xml:space="preserve">In practice this means: every resource an application depends on — compute, storage, and databases like DynamoDB — has to move from the old account to the new one. For an enterprise-critical, high-throughput system, that migration has to happen without downtime, which is exactly the problem your DynamoDB migration strategy solved.</w:t>
      </w:r>
    </w:p>
    <w:p>
      <w:pPr>
        <w:pStyle w:val="Heading3"/>
        <w:spacing w:after="80" w:before="240"/>
      </w:pPr>
      <w:r>
        <w:rPr>
          <w:b/>
          <w:bCs/>
          <w:sz w:val="23"/>
          <w:szCs w:val="23"/>
        </w:rPr>
        <w:t xml:space="preserve">Use case characteristics</w:t>
      </w:r>
    </w:p>
    <w:p>
      <w:pPr>
        <w:pStyle w:val="ListParagraph"/>
        <w:numPr>
          <w:ilvl w:val="0"/>
          <w:numId w:val="2"/>
        </w:numPr>
        <w:spacing w:after="60"/>
      </w:pPr>
      <w:r>
        <w:rPr>
          <w:b/>
          <w:bCs/>
          <w:sz w:val="22"/>
          <w:szCs w:val="22"/>
        </w:rPr>
        <w:t xml:space="preserve">Traffic: </w:t>
      </w:r>
      <w:r>
        <w:rPr>
          <w:sz w:val="22"/>
          <w:szCs w:val="22"/>
        </w:rPr>
        <w:t xml:space="preserve">~2,000 TPS reads / 50 TPS writes.</w:t>
      </w:r>
    </w:p>
    <w:p>
      <w:pPr>
        <w:pStyle w:val="ListParagraph"/>
        <w:numPr>
          <w:ilvl w:val="0"/>
          <w:numId w:val="2"/>
        </w:numPr>
        <w:spacing w:after="60"/>
      </w:pPr>
      <w:r>
        <w:rPr>
          <w:b/>
          <w:bCs/>
          <w:sz w:val="22"/>
          <w:szCs w:val="22"/>
        </w:rPr>
        <w:t xml:space="preserve">Deployment: </w:t>
      </w:r>
      <w:r>
        <w:rPr>
          <w:sz w:val="22"/>
          <w:szCs w:val="22"/>
        </w:rPr>
        <w:t xml:space="preserve">multi-region, active-active for high availability and low global latency.</w:t>
      </w:r>
    </w:p>
    <w:p>
      <w:pPr>
        <w:pStyle w:val="ListParagraph"/>
        <w:numPr>
          <w:ilvl w:val="0"/>
          <w:numId w:val="2"/>
        </w:numPr>
        <w:spacing w:after="60"/>
      </w:pPr>
      <w:r>
        <w:rPr>
          <w:b/>
          <w:bCs/>
          <w:sz w:val="22"/>
          <w:szCs w:val="22"/>
        </w:rPr>
        <w:t xml:space="preserve">Access pattern: </w:t>
      </w:r>
      <w:r>
        <w:rPr>
          <w:sz w:val="22"/>
          <w:szCs w:val="22"/>
        </w:rPr>
        <w:t xml:space="preserve">the wire fee database — a primary API used for wire fee calculation/lookup, consumed concurrently by 10+ clients, served as the central DynamoDB interface.</w:t>
      </w:r>
    </w:p>
    <w:p>
      <w:pPr>
        <w:pStyle w:val="ListParagraph"/>
        <w:numPr>
          <w:ilvl w:val="0"/>
          <w:numId w:val="2"/>
        </w:numPr>
        <w:spacing w:after="60"/>
      </w:pPr>
      <w:r>
        <w:rPr>
          <w:b/>
          <w:bCs/>
          <w:sz w:val="22"/>
          <w:szCs w:val="22"/>
        </w:rPr>
        <w:t xml:space="preserve">SLA: </w:t>
      </w:r>
      <w:r>
        <w:rPr>
          <w:sz w:val="22"/>
          <w:szCs w:val="22"/>
        </w:rPr>
        <w:t xml:space="preserve">200ms response time with a hard requirement to avoid serving stale data.</w:t>
      </w:r>
    </w:p>
    <w:p>
      <w:pPr>
        <w:pStyle w:val="Heading3"/>
        <w:spacing w:after="80" w:before="240"/>
      </w:pPr>
      <w:r>
        <w:rPr>
          <w:b/>
          <w:bCs/>
          <w:sz w:val="23"/>
          <w:szCs w:val="23"/>
        </w:rPr>
        <w:t xml:space="preserve">CAP theorem — the consistency/availability decision</w:t>
      </w:r>
    </w:p>
    <w:p>
      <w:pPr>
        <w:spacing w:after="120"/>
      </w:pPr>
      <w:r>
        <w:rPr>
          <w:sz w:val="22"/>
          <w:szCs w:val="22"/>
        </w:rPr>
        <w:t xml:space="preserve">CAP theorem says a distributed system can only guarantee two of Consistency, Availability, and Partition tolerance at once — and since partition tolerance isn't optional in a multi-region, cross-account, multi-database migration, the real choice was between prioritizing consistency (C) or availability (A) when the two databases couldn't agree.</w:t>
      </w:r>
    </w:p>
    <w:p>
      <w:pPr>
        <w:pStyle w:val="ListParagraph"/>
        <w:numPr>
          <w:ilvl w:val="0"/>
          <w:numId w:val="2"/>
        </w:numPr>
        <w:spacing w:after="60"/>
      </w:pPr>
      <w:r>
        <w:rPr>
          <w:b/>
          <w:bCs/>
          <w:sz w:val="22"/>
          <w:szCs w:val="22"/>
        </w:rPr>
        <w:t xml:space="preserve">Why consistency won here: </w:t>
      </w:r>
      <w:r>
        <w:rPr>
          <w:sz w:val="22"/>
          <w:szCs w:val="22"/>
        </w:rPr>
        <w:t xml:space="preserve">this was a wire fee database where records carry a status field (e.g. PENDING/APPLIED/WAIVED/REVERSED) that gates whether downstream processes act on a fee. A stale read here isn't just a wrong number — it's a wrong decision about whether an action should fire. Reading a stale PENDING after a fee has actually been APPLIED risks double-charging; reading a stale APPLIED after a fee was WAIVED or REVERSED risks charging something that was just cancelled. Status-driven side effects make stale and wrong functionally the same thing, which is why the SLA called this out as a hard requirement rather than a tunable target.</w:t>
      </w:r>
    </w:p>
    <w:p>
      <w:pPr>
        <w:pStyle w:val="ListParagraph"/>
        <w:numPr>
          <w:ilvl w:val="0"/>
          <w:numId w:val="2"/>
        </w:numPr>
        <w:spacing w:after="60"/>
      </w:pPr>
      <w:r>
        <w:rPr>
          <w:b/>
          <w:bCs/>
          <w:sz w:val="22"/>
          <w:szCs w:val="22"/>
        </w:rPr>
        <w:t xml:space="preserve">Where the staleness window comes from: </w:t>
      </w:r>
      <w:r>
        <w:rPr>
          <w:sz w:val="22"/>
          <w:szCs w:val="22"/>
        </w:rPr>
        <w:t xml:space="preserve">the CDC pipeline (Streams polling ~4x/second, then Lambda pickup and processing) meant source and target tables could disagree for roughly 400ms–1 second during migration. That's the exact window in which a read could see an out-of-date status and trigger — or fail to trigger — a fee action.</w:t>
      </w:r>
    </w:p>
    <w:p>
      <w:pPr>
        <w:pStyle w:val="ListParagraph"/>
        <w:numPr>
          <w:ilvl w:val="0"/>
          <w:numId w:val="2"/>
        </w:numPr>
        <w:spacing w:after="60"/>
      </w:pPr>
      <w:r>
        <w:rPr>
          <w:b/>
          <w:bCs/>
          <w:sz w:val="22"/>
          <w:szCs w:val="22"/>
        </w:rPr>
        <w:t xml:space="preserve">How that showed up in the design: </w:t>
      </w:r>
      <w:r>
        <w:rPr>
          <w:sz w:val="22"/>
          <w:szCs w:val="22"/>
        </w:rPr>
        <w:t xml:space="preserve">synchronous dual writes (not async/eventual) during the application cutover stage meant a failure on the primary write surfaced immediately as a client error rather than silently drifting out of sync — an availability cost accepted in exchange for correctness. CDC + the Reconcile Lambda acted as the safety net for the secondary write path, so a transient failure there didn't get silently lost, but also didn't get papered over with a stale status being served.</w:t>
      </w:r>
    </w:p>
    <w:p>
      <w:pPr>
        <w:pStyle w:val="ListParagraph"/>
        <w:numPr>
          <w:ilvl w:val="0"/>
          <w:numId w:val="2"/>
        </w:numPr>
        <w:spacing w:after="60"/>
      </w:pPr>
      <w:r>
        <w:rPr>
          <w:b/>
          <w:bCs/>
          <w:sz w:val="22"/>
          <w:szCs w:val="22"/>
        </w:rPr>
        <w:t xml:space="preserve">Where availability was still preserved: </w:t>
      </w:r>
      <w:r>
        <w:rPr>
          <w:sz w:val="22"/>
          <w:szCs w:val="22"/>
        </w:rPr>
        <w:t xml:space="preserve">the multi-region active-active deployment kept the system highly available at the infrastructure level (no single point of failure across regions), while the consistency guarantee was enforced at the data-write level between the source and target tables specifically during migration — the two concerns were handled independently rather than trading one off wholesale for the other.</w:t>
      </w:r>
    </w:p>
    <w:p>
      <w:pPr>
        <w:pStyle w:val="ListParagraph"/>
        <w:numPr>
          <w:ilvl w:val="0"/>
          <w:numId w:val="2"/>
        </w:numPr>
        <w:spacing w:after="60"/>
      </w:pPr>
      <w:r>
        <w:rPr>
          <w:b/>
          <w:bCs/>
          <w:sz w:val="22"/>
          <w:szCs w:val="22"/>
        </w:rPr>
        <w:t xml:space="preserve">The tradeoff in interview terms: </w:t>
      </w:r>
      <w:r>
        <w:rPr>
          <w:sz w:val="22"/>
          <w:szCs w:val="22"/>
        </w:rPr>
        <w:t xml:space="preserve">be ready to say plainly that this was a conscious CP-leaning choice for the migration window — short-term availability risk (synchronous write failures surfacing as errors) accepted to guarantee no stale fee status was ever served and no fee action double-fired or got skipped, rather than defaulting to an AP/eventually-consistent design that would have been simpler but risked double-charging or under-charging wire fees.</w:t>
      </w:r>
    </w:p>
    <w:p>
      <w:pPr>
        <w:pStyle w:val="Heading3"/>
        <w:spacing w:after="80" w:before="240"/>
      </w:pPr>
      <w:r>
        <w:rPr>
          <w:b/>
          <w:bCs/>
          <w:sz w:val="23"/>
          <w:szCs w:val="23"/>
        </w:rPr>
        <w:t xml:space="preserve">Options considered</w:t>
      </w:r>
    </w:p>
    <w:p>
      <w:pPr>
        <w:pStyle w:val="ListParagraph"/>
        <w:numPr>
          <w:ilvl w:val="0"/>
          <w:numId w:val="2"/>
        </w:numPr>
        <w:spacing w:after="60"/>
      </w:pPr>
      <w:r>
        <w:rPr>
          <w:b/>
          <w:bCs/>
          <w:sz w:val="22"/>
          <w:szCs w:val="22"/>
        </w:rPr>
        <w:t xml:space="preserve">1. AWS DMS: </w:t>
      </w:r>
      <w:r>
        <w:rPr>
          <w:sz w:val="22"/>
          <w:szCs w:val="22"/>
        </w:rPr>
        <w:t xml:space="preserve">ruled out — as of 2024, DMS has no native DynamoDB-to-DynamoDB support.</w:t>
      </w:r>
    </w:p>
    <w:p>
      <w:pPr>
        <w:pStyle w:val="ListParagraph"/>
        <w:numPr>
          <w:ilvl w:val="0"/>
          <w:numId w:val="2"/>
        </w:numPr>
        <w:spacing w:after="60"/>
      </w:pPr>
      <w:r>
        <w:rPr>
          <w:b/>
          <w:bCs/>
          <w:sz w:val="22"/>
          <w:szCs w:val="22"/>
        </w:rPr>
        <w:t xml:space="preserve">2. AWS Backup/Restore + DynamoDB Streams CDC: </w:t>
      </w:r>
      <w:r>
        <w:rPr>
          <w:sz w:val="22"/>
          <w:szCs w:val="22"/>
        </w:rPr>
        <w:t xml:space="preserve">initial transfer via backup/restore, then near-real-time CDC via DynamoDB Streams (24-hour retention) and Lambda.</w:t>
      </w:r>
    </w:p>
    <w:p>
      <w:pPr>
        <w:pStyle w:val="ListParagraph"/>
        <w:numPr>
          <w:ilvl w:val="0"/>
          <w:numId w:val="2"/>
        </w:numPr>
        <w:spacing w:after="60"/>
      </w:pPr>
      <w:r>
        <w:rPr>
          <w:b/>
          <w:bCs/>
          <w:sz w:val="22"/>
          <w:szCs w:val="22"/>
        </w:rPr>
        <w:t xml:space="preserve">3. AWS Backup/Restore + Kinesis Streams CDC: </w:t>
      </w:r>
      <w:r>
        <w:rPr>
          <w:sz w:val="22"/>
          <w:szCs w:val="22"/>
        </w:rPr>
        <w:t xml:space="preserve">same idea as option 2, but Kinesis gives up to 7 days retention and configurable shard throughput, at separate cost (vs. DynamoDB Streams being included in table cost).</w:t>
      </w:r>
    </w:p>
    <w:p>
      <w:pPr>
        <w:pStyle w:val="ListParagraph"/>
        <w:numPr>
          <w:ilvl w:val="0"/>
          <w:numId w:val="2"/>
        </w:numPr>
        <w:spacing w:after="60"/>
      </w:pPr>
      <w:r>
        <w:rPr>
          <w:b/>
          <w:bCs/>
          <w:sz w:val="22"/>
          <w:szCs w:val="22"/>
        </w:rPr>
        <w:t xml:space="preserve">4. AWS Backup/Restore + Simplified Dual Write: </w:t>
      </w:r>
      <w:r>
        <w:rPr>
          <w:sz w:val="22"/>
          <w:szCs w:val="22"/>
        </w:rPr>
        <w:t xml:space="preserve">no CDC — concurrent writes to source and target from the application, with resiliency/failure handling built at the application layer.</w:t>
      </w:r>
    </w:p>
    <w:p>
      <w:pPr>
        <w:pStyle w:val="ListParagraph"/>
        <w:numPr>
          <w:ilvl w:val="0"/>
          <w:numId w:val="2"/>
        </w:numPr>
        <w:spacing w:after="60"/>
      </w:pPr>
      <w:r>
        <w:rPr>
          <w:b/>
          <w:bCs/>
          <w:sz w:val="22"/>
          <w:szCs w:val="22"/>
        </w:rPr>
        <w:t xml:space="preserve">5. Hybrid (Backup/Restore + DynamoDB Streams CDC + Dual Write) — Recommended: </w:t>
      </w:r>
      <w:r>
        <w:rPr>
          <w:sz w:val="22"/>
          <w:szCs w:val="22"/>
        </w:rPr>
        <w:t xml:space="preserve">combines option 2 with application-level dual writes during the transition; CDC extended to 14 days via an SQS queue behind the Streams-based Lambda. This was the option selected — the only one that satisfied zero downtime, application criticality, and no tolerance for stale data simultaneously.</w:t>
      </w:r>
    </w:p>
    <w:p>
      <w:pPr>
        <w:pStyle w:val="Heading3"/>
        <w:spacing w:after="80" w:before="240"/>
      </w:pPr>
      <w:r>
        <w:rPr>
          <w:b/>
          <w:bCs/>
          <w:sz w:val="23"/>
          <w:szCs w:val="23"/>
        </w:rPr>
        <w:t xml:space="preserve">The 3-stage hybrid strategy</w:t>
      </w:r>
    </w:p>
    <w:p>
      <w:pPr>
        <w:pStyle w:val="ListParagraph"/>
        <w:numPr>
          <w:ilvl w:val="0"/>
          <w:numId w:val="2"/>
        </w:numPr>
        <w:spacing w:after="60"/>
      </w:pPr>
      <w:r>
        <w:rPr>
          <w:b/>
          <w:bCs/>
          <w:sz w:val="22"/>
          <w:szCs w:val="22"/>
        </w:rPr>
        <w:t xml:space="preserve">Stage 1 — Backup and Restore: </w:t>
      </w:r>
      <w:r>
        <w:rPr>
          <w:sz w:val="22"/>
          <w:szCs w:val="22"/>
        </w:rPr>
        <w:t xml:space="preserve">on-demand AWS Backup of the source table, cross-account copy job to the target account's backup vault, then restore to create the new table (via aws backup start-backup-job → start-copy-job → start-restore-job). DynamoDB Streams is enabled on the source before backup starts, so no in-flight changes are lost.</w:t>
      </w:r>
    </w:p>
    <w:p>
      <w:pPr>
        <w:pStyle w:val="ListParagraph"/>
        <w:numPr>
          <w:ilvl w:val="0"/>
          <w:numId w:val="2"/>
        </w:numPr>
        <w:spacing w:after="60"/>
      </w:pPr>
      <w:r>
        <w:rPr>
          <w:b/>
          <w:bCs/>
          <w:sz w:val="22"/>
          <w:szCs w:val="22"/>
        </w:rPr>
        <w:t xml:space="preserve">Stage 2 — Change Data Capture: </w:t>
      </w:r>
      <w:r>
        <w:rPr>
          <w:sz w:val="22"/>
          <w:szCs w:val="22"/>
        </w:rPr>
        <w:t xml:space="preserve">a CDC Lambda polls the DynamoDB stream (~4x/second) and processes INSERT/MODIFY/REMOVE events synchronously, writing to the target table. Since Streams only retains 24 hours, events are pushed to an SQS queue (4-day default, 14-day max) to extend the effective retention window. Failed events land in a Dead Letter Queue for retry so stream processing is never blocked. A Reconcile Lambda then compares source and destination records by primary key and updates the target only where they differ, minimizing redundant writes and giving a way to run pre-cutover sanity checks.</w:t>
      </w:r>
    </w:p>
    <w:p>
      <w:pPr>
        <w:pStyle w:val="ListParagraph"/>
        <w:numPr>
          <w:ilvl w:val="0"/>
          <w:numId w:val="2"/>
        </w:numPr>
        <w:spacing w:after="60"/>
      </w:pPr>
      <w:r>
        <w:rPr>
          <w:b/>
          <w:bCs/>
          <w:sz w:val="22"/>
          <w:szCs w:val="22"/>
        </w:rPr>
        <w:t xml:space="preserve">Stage 3 — Application Cutover: </w:t>
      </w:r>
      <w:r>
        <w:rPr>
          <w:sz w:val="22"/>
          <w:szCs w:val="22"/>
        </w:rPr>
        <w:t xml:space="preserve">CDC is made bidirectional so updates to the target also flow back to the source, supporting rollback at any point. The application then moves through staged dual-write releases (write attribute flags track which record “belongs” to which account) — first primary=source/secondary=target, then primary=target/secondary=source, then writes exclusively to the target — before the source table and cross-account IAM roles are decommissioned.</w:t>
      </w:r>
    </w:p>
    <w:p>
      <w:pPr>
        <w:pStyle w:val="Heading3"/>
        <w:spacing w:after="80" w:before="240"/>
      </w:pPr>
      <w:r>
        <w:rPr>
          <w:b/>
          <w:bCs/>
          <w:sz w:val="23"/>
          <w:szCs w:val="23"/>
        </w:rPr>
        <w:t xml:space="preserve">Key tradeoffs to be ready to discuss</w:t>
      </w:r>
    </w:p>
    <w:p>
      <w:pPr>
        <w:pStyle w:val="ListParagraph"/>
        <w:numPr>
          <w:ilvl w:val="0"/>
          <w:numId w:val="2"/>
        </w:numPr>
        <w:spacing w:after="60"/>
      </w:pPr>
      <w:r>
        <w:rPr>
          <w:b/>
          <w:bCs/>
          <w:sz w:val="22"/>
          <w:szCs w:val="22"/>
        </w:rPr>
        <w:t xml:space="preserve">Why not a simpler dual-write-only approach (option 4)? </w:t>
      </w:r>
      <w:r>
        <w:rPr>
          <w:sz w:val="22"/>
          <w:szCs w:val="22"/>
        </w:rPr>
        <w:t xml:space="preserve">it drops CDC and pushes all consistency/failure-handling into application code — simpler infra, but riskier for a high-criticality, high-transaction app that can't tolerate stale data.</w:t>
      </w:r>
    </w:p>
    <w:p>
      <w:pPr>
        <w:pStyle w:val="ListParagraph"/>
        <w:numPr>
          <w:ilvl w:val="0"/>
          <w:numId w:val="2"/>
        </w:numPr>
        <w:spacing w:after="60"/>
      </w:pPr>
      <w:r>
        <w:rPr>
          <w:b/>
          <w:bCs/>
          <w:sz w:val="22"/>
          <w:szCs w:val="22"/>
        </w:rPr>
        <w:t xml:space="preserve">Why DynamoDB Streams over Kinesis for CDC? </w:t>
      </w:r>
      <w:r>
        <w:rPr>
          <w:sz w:val="22"/>
          <w:szCs w:val="22"/>
        </w:rPr>
        <w:t xml:space="preserve">the 24-hour retention was a real constraint, solved cheaply by adding an SQS buffer rather than paying separately for Kinesis's longer native retention.</w:t>
      </w:r>
    </w:p>
    <w:p>
      <w:pPr>
        <w:pStyle w:val="ListParagraph"/>
        <w:numPr>
          <w:ilvl w:val="0"/>
          <w:numId w:val="2"/>
        </w:numPr>
        <w:spacing w:after="60"/>
      </w:pPr>
      <w:r>
        <w:rPr>
          <w:b/>
          <w:bCs/>
          <w:sz w:val="22"/>
          <w:szCs w:val="22"/>
        </w:rPr>
        <w:t xml:space="preserve">Cost of resiliency: </w:t>
      </w:r>
      <w:r>
        <w:rPr>
          <w:sz w:val="22"/>
          <w:szCs w:val="22"/>
        </w:rPr>
        <w:t xml:space="preserve">the hybrid approach adds latency (every write hits two databases), operational complexity (monitoring two live systems), and extra cost (parallel infrastructure) — an explicit tradeoff made in exchange for zero downtime and rollback-ability on a mission-critical system.</w:t>
      </w:r>
    </w:p>
    <w:p>
      <w:pPr>
        <w:pStyle w:val="ListParagraph"/>
        <w:numPr>
          <w:ilvl w:val="0"/>
          <w:numId w:val="2"/>
        </w:numPr>
        <w:spacing w:after="60"/>
      </w:pPr>
      <w:r>
        <w:rPr>
          <w:b/>
          <w:bCs/>
          <w:sz w:val="22"/>
          <w:szCs w:val="22"/>
        </w:rPr>
        <w:t xml:space="preserve">Cutover pacing: </w:t>
      </w:r>
      <w:r>
        <w:rPr>
          <w:sz w:val="22"/>
          <w:szCs w:val="22"/>
        </w:rPr>
        <w:t xml:space="preserve">staged dual-write releases (rather than an abrupt cutover) were chosen specifically because the app's TPS and stale-data intolerance ruled out a simple flip — gradual traffic migration with reconciliation checks in between was necessary.</w:t>
      </w:r>
    </w:p>
    <w:p>
      <w:pPr>
        <w:spacing w:before="200"/>
      </w:pPr>
      <w:r>
        <w:br/>
        <w:t xml:space="preserve"/>
      </w:r>
    </w:p>
    <w:p>
      <w:pPr>
        <w:pStyle w:val="Heading2"/>
        <w:pBdr>
          <w:bottom w:val="single" w:color="1F3864" w:sz="6" w:space="4"/>
        </w:pBdr>
        <w:spacing w:after="120" w:before="320"/>
      </w:pPr>
      <w:r>
        <w:rPr>
          <w:b/>
          <w:bCs/>
          <w:color w:val="1F3864"/>
          <w:sz w:val="26"/>
          <w:szCs w:val="26"/>
        </w:rPr>
        <w:t xml:space="preserve">6. Payee Management Platform Migration — STAR Story</w:t>
      </w:r>
    </w:p>
    <w:p>
      <w:pPr>
        <w:spacing w:after="120"/>
      </w:pPr>
      <w:r>
        <w:rPr>
          <w:i/>
          <w:iCs/>
          <w:color w:val="555555"/>
          <w:sz w:val="22"/>
          <w:szCs w:val="22"/>
        </w:rPr>
        <w:t xml:space="preserve">Use this for build-vs-buy and platform-migration tradeoff questions — it's a cleaner “why did you design it this way” story than the wire fee migration since the rail-agnostic call was yours, not a requirement handed down.</w:t>
      </w:r>
    </w:p>
    <w:p>
      <w:pPr>
        <w:pStyle w:val="ListParagraph"/>
        <w:numPr>
          <w:ilvl w:val="0"/>
          <w:numId w:val="2"/>
        </w:numPr>
        <w:spacing w:after="60"/>
      </w:pPr>
      <w:r>
        <w:rPr>
          <w:b/>
          <w:bCs/>
          <w:sz w:val="22"/>
          <w:szCs w:val="22"/>
        </w:rPr>
        <w:t xml:space="preserve">Situation: </w:t>
      </w:r>
      <w:r>
        <w:rPr>
          <w:sz w:val="22"/>
          <w:szCs w:val="22"/>
        </w:rPr>
        <w:t xml:space="preserve">SBB customers needed the ability to add, edit, and delete payees as part of managing their payee experience. Payee data lived in a team-owned DynamoDB table.</w:t>
      </w:r>
    </w:p>
    <w:p>
      <w:pPr>
        <w:pStyle w:val="ListParagraph"/>
        <w:numPr>
          <w:ilvl w:val="0"/>
          <w:numId w:val="2"/>
        </w:numPr>
        <w:spacing w:after="60"/>
      </w:pPr>
      <w:r>
        <w:rPr>
          <w:b/>
          <w:bCs/>
          <w:sz w:val="22"/>
          <w:szCs w:val="22"/>
        </w:rPr>
        <w:t xml:space="preserve">Task: </w:t>
      </w:r>
      <w:r>
        <w:rPr>
          <w:sz w:val="22"/>
          <w:szCs w:val="22"/>
        </w:rPr>
        <w:t xml:space="preserve">build the new delete/edit API functionality full-stack, while migrating off the team-owned DynamoDB table onto PayeeManagementPlatform — a centralized, externally-owned platform (Fargate-backed, with a Cassandra-backed MAP store) — and do it in a way that wasn't just usable for this team's rail, but reusable by other teams and rails in the future.</w:t>
      </w:r>
    </w:p>
    <w:p>
      <w:pPr>
        <w:pStyle w:val="ListParagraph"/>
        <w:numPr>
          <w:ilvl w:val="0"/>
          <w:numId w:val="2"/>
        </w:numPr>
        <w:spacing w:after="60"/>
      </w:pPr>
      <w:r>
        <w:rPr>
          <w:b/>
          <w:bCs/>
          <w:sz w:val="22"/>
          <w:szCs w:val="22"/>
        </w:rPr>
        <w:t xml:space="preserve">Action: </w:t>
      </w:r>
      <w:r>
        <w:rPr>
          <w:sz w:val="22"/>
          <w:szCs w:val="22"/>
        </w:rPr>
        <w:t xml:space="preserve">shipped the API as a Lambda-hosted service, working with the product team on the corresponding frontend changes. The main challenge wasn't the platform itself — it was managing multiple sources of payee data during the transition while building on a platform owned and evolved by another team, not fully under this team's control. The key design call (made independently, not a requirement) was to make the service rail-agnostic: abstracting rail-specific logic behind a common interface and designing a generic schema, rather than building something narrowly scoped to wires.</w:t>
      </w:r>
    </w:p>
    <w:p>
      <w:pPr>
        <w:pStyle w:val="ListParagraph"/>
        <w:numPr>
          <w:ilvl w:val="0"/>
          <w:numId w:val="2"/>
        </w:numPr>
        <w:spacing w:after="60"/>
      </w:pPr>
      <w:r>
        <w:rPr>
          <w:b/>
          <w:bCs/>
          <w:sz w:val="22"/>
          <w:szCs w:val="22"/>
        </w:rPr>
        <w:t xml:space="preserve">Result: </w:t>
      </w:r>
      <w:r>
        <w:rPr>
          <w:sz w:val="22"/>
          <w:szCs w:val="22"/>
        </w:rPr>
        <w:t xml:space="preserve">wires is fully onboarded onto the new platform, ACH is onboarding next, and because the rail-specific logic is abstracted behind a common interface, extending to ACH — and future rails or teams — doesn't require rebuilding the core service.</w:t>
      </w:r>
    </w:p>
    <w:p>
      <w:pPr>
        <w:pStyle w:val="ListParagraph"/>
        <w:numPr>
          <w:ilvl w:val="0"/>
          <w:numId w:val="2"/>
        </w:numPr>
        <w:spacing w:after="60"/>
      </w:pPr>
      <w:r>
        <w:rPr>
          <w:b/>
          <w:bCs/>
          <w:sz w:val="22"/>
          <w:szCs w:val="22"/>
        </w:rPr>
        <w:t xml:space="preserve">Tradeoff to name explicitly if asked: </w:t>
      </w:r>
      <w:r>
        <w:rPr>
          <w:sz w:val="22"/>
          <w:szCs w:val="22"/>
        </w:rPr>
        <w:t xml:space="preserve">this was a conscious build-vs-buy call — adopting a centralized, externally-owned platform instead of continuing to own payee storage on team infrastructure — paired with a build-for-reuse investment (the rail-agnostic abstraction) that cost more design effort up front than a wires-only solution would have, in exchange for not having to rebuild the service when ACH (or another team) needed the same capability.</w:t>
      </w:r>
    </w:p>
    <w:p>
      <w:pPr>
        <w:spacing w:before="200"/>
      </w:pPr>
      <w:r>
        <w:br/>
        <w:t xml:space="preserve"/>
      </w:r>
    </w:p>
    <w:p>
      <w:pPr>
        <w:pStyle w:val="Heading2"/>
        <w:pBdr>
          <w:bottom w:val="single" w:color="1F3864" w:sz="6" w:space="4"/>
        </w:pBdr>
        <w:spacing w:after="120" w:before="320"/>
      </w:pPr>
      <w:r>
        <w:rPr>
          <w:b/>
          <w:bCs/>
          <w:color w:val="1F3864"/>
          <w:sz w:val="26"/>
          <w:szCs w:val="26"/>
        </w:rPr>
        <w:t xml:space="preserve">7. Strength, Weakness &amp; Conflict — Condensed Answers</w:t>
      </w:r>
    </w:p>
    <w:p>
      <w:pPr>
        <w:spacing w:after="120"/>
      </w:pPr>
      <w:r>
        <w:rPr>
          <w:i/>
          <w:iCs/>
          <w:color w:val="555555"/>
          <w:sz w:val="22"/>
          <w:szCs w:val="22"/>
        </w:rPr>
        <w:t xml:space="preserve">Hiring manager rounds often include a few behavioral questions alongside the technical ones. Full versions of these live in your HR prep doc — these are the condensed, say-out-loud versions for this round.</w:t>
      </w:r>
    </w:p>
    <w:p>
      <w:pPr>
        <w:pStyle w:val="ListParagraph"/>
        <w:numPr>
          <w:ilvl w:val="0"/>
          <w:numId w:val="2"/>
        </w:numPr>
        <w:spacing w:after="60"/>
      </w:pPr>
      <w:r>
        <w:rPr>
          <w:b/>
          <w:bCs/>
          <w:sz w:val="22"/>
          <w:szCs w:val="22"/>
        </w:rPr>
        <w:t xml:space="preserve">Biggest strength — ramping up quickly in unfamiliar environments: </w:t>
      </w:r>
      <w:r>
        <w:rPr>
          <w:sz w:val="22"/>
          <w:szCs w:val="22"/>
        </w:rPr>
        <w:t xml:space="preserve">three real examples: designing a Step Functions V2 architecture with almost no documentation as the first engineer on a re-org'd team; owning the Payee Management Platform integration end-to-end in a compliance/risk domain you hadn't worked in before; and building a full ML analytics system (CV, statistical modeling, NLP) for Illinois basketball with zero existing infrastructure. Same approach every time: understand why the system exists before diving into how, trace real execution paths instead of trusting docs, break the problem into smaller mental models, test assumptions with small experiments before committing to a design.</w:t>
      </w:r>
    </w:p>
    <w:p>
      <w:pPr>
        <w:pStyle w:val="ListParagraph"/>
        <w:numPr>
          <w:ilvl w:val="0"/>
          <w:numId w:val="2"/>
        </w:numPr>
        <w:spacing w:after="60"/>
      </w:pPr>
      <w:r>
        <w:rPr>
          <w:b/>
          <w:bCs/>
          <w:sz w:val="22"/>
          <w:szCs w:val="22"/>
        </w:rPr>
        <w:t xml:space="preserve">Biggest weakness — asking for help sooner: </w:t>
      </w:r>
      <w:r>
        <w:rPr>
          <w:sz w:val="22"/>
          <w:szCs w:val="22"/>
        </w:rPr>
        <w:t xml:space="preserve">Capital One's strong self-sufficiency culture led you to default to “figure it out yourself first,” which built good debugging instincts but meant escalating later than optimal. Fix: a personal rule to proactively reach out once blocked past a reasonable window, or when the issue affects an architectural decision — and when you do, lead with what you've already tried and ruled out, so the conversation starts from where you actually are.</w:t>
      </w:r>
    </w:p>
    <w:p>
      <w:pPr>
        <w:pStyle w:val="ListParagraph"/>
        <w:numPr>
          <w:ilvl w:val="0"/>
          <w:numId w:val="2"/>
        </w:numPr>
        <w:spacing w:after="60"/>
      </w:pPr>
      <w:r>
        <w:rPr>
          <w:b/>
          <w:bCs/>
          <w:sz w:val="22"/>
          <w:szCs w:val="22"/>
        </w:rPr>
        <w:t xml:space="preserve">Conflict — primary (technical, tradeoff-flavored): </w:t>
      </w:r>
      <w:r>
        <w:rPr>
          <w:sz w:val="22"/>
          <w:szCs w:val="22"/>
        </w:rPr>
        <w:t xml:space="preserve">the Step Functions V2 pushback story. A stakeholder proposed very granular onboarding configurability; you were concerned it would meaningfully increase complexity (harder onboarding, more cognitive load, more room for configuration errors on workflows processing real customer applications). You pushed back framed explicitly around user/operational impact rather than personal preference, and proposed a simpler config model covering nearly all real use cases. After walking through the tradeoffs, the team aligned on the simpler design — and it did in fact make onboarding faster with less ongoing support burden.</w:t>
      </w:r>
    </w:p>
    <w:p>
      <w:pPr>
        <w:pStyle w:val="ListParagraph"/>
        <w:numPr>
          <w:ilvl w:val="0"/>
          <w:numId w:val="2"/>
        </w:numPr>
        <w:spacing w:after="60"/>
      </w:pPr>
      <w:r>
        <w:rPr>
          <w:b/>
          <w:bCs/>
          <w:sz w:val="22"/>
          <w:szCs w:val="22"/>
        </w:rPr>
        <w:t xml:space="preserve">Conflict — alternate (team dynamics): </w:t>
      </w:r>
      <w:r>
        <w:rPr>
          <w:sz w:val="22"/>
          <w:szCs w:val="22"/>
        </w:rPr>
        <w:t xml:space="preserve">the pod POC disagreement. Two engineers had genuinely different views on a design decision and were debating in the abstract without progress. You suggested building lightweight POCs of both approaches to compare concretely — performance, maintainability, scalability — which surfaced real strengths in each and led to a hybrid solution simpler than either original proposal. Use this one if the interviewer specifically wants a team-dynamics story rather than a technical-tradeoff one; the Step Functions story is the stronger default for a hiring manager technical round.</w:t>
      </w:r>
    </w:p>
    <w:p>
      <w:pPr>
        <w:spacing w:before="200"/>
      </w:pPr>
      <w:r>
        <w:br/>
        <w:t xml:space="preserve"/>
      </w:r>
    </w:p>
    <w:p>
      <w:pPr>
        <w:pStyle w:val="Heading2"/>
        <w:pBdr>
          <w:bottom w:val="single" w:color="1F3864" w:sz="6" w:space="4"/>
        </w:pBdr>
        <w:spacing w:after="120" w:before="320"/>
      </w:pPr>
      <w:r>
        <w:rPr>
          <w:b/>
          <w:bCs/>
          <w:color w:val="1F3864"/>
          <w:sz w:val="26"/>
          <w:szCs w:val="26"/>
        </w:rPr>
        <w:t xml:space="preserve">8. JD-Specific Process Questions</w:t>
      </w:r>
    </w:p>
    <w:p>
      <w:pPr>
        <w:spacing w:after="120"/>
      </w:pPr>
      <w:r>
        <w:rPr>
          <w:i/>
          <w:iCs/>
          <w:color w:val="555555"/>
          <w:sz w:val="22"/>
          <w:szCs w:val="22"/>
        </w:rPr>
        <w:t xml:space="preserve">Pulled from the JD's Responsibilities and Qualifications sections — code review, CI/CD, documentation, cross-team collaboration, tech debt, containerization, and on-call. These are common in hiring manager rounds precisely because they map so directly to the posting.</w:t>
      </w:r>
    </w:p>
    <w:p>
      <w:pPr>
        <w:pStyle w:val="Heading3"/>
        <w:spacing w:after="60" w:before="200"/>
      </w:pPr>
      <w:r>
        <w:rPr>
          <w:b/>
          <w:bCs/>
          <w:sz w:val="22"/>
          <w:szCs w:val="22"/>
        </w:rPr>
        <w:t xml:space="preserve">“Walk me through how you approach code reviews — what do you look for?”</w:t>
      </w:r>
    </w:p>
    <w:p>
      <w:pPr>
        <w:spacing w:after="140"/>
      </w:pPr>
      <w:r>
        <w:rPr>
          <w:sz w:val="22"/>
          <w:szCs w:val="22"/>
        </w:rPr>
        <w:t xml:space="preserve">I look at three layers: correctness first — does this actually do what it claims, especially around edge cases, since a lot of my work touches financial transactions where an edge case is a real dollar amount, not just a bug. Second, whether the design fits the system, not just the ticket — I ask whether this is solving the immediate problem in a way that creates friction for the next person, similar to how I pushed back on overly granular Step Functions configurability because it would've made future onboarding harder even though it looked flexible on paper. Third, testability — can this actually be unit tested in isolation, or does it need real infrastructure to verify, which is a flag in itself. I try to leave reviews as questions rather than directives where the intent isn't obvious, since it usually surfaces either a gap in my understanding or a gap in the design.</w:t>
      </w:r>
    </w:p>
    <w:p>
      <w:pPr>
        <w:pStyle w:val="Heading3"/>
        <w:spacing w:after="60" w:before="100"/>
      </w:pPr>
      <w:r>
        <w:rPr>
          <w:b/>
          <w:bCs/>
          <w:sz w:val="22"/>
          <w:szCs w:val="22"/>
        </w:rPr>
        <w:t xml:space="preserve">“Describe your experience with CI/CD pipelines and test automation.”</w:t>
      </w:r>
    </w:p>
    <w:p>
      <w:pPr>
        <w:spacing w:after="140"/>
      </w:pPr>
      <w:r>
        <w:rPr>
          <w:sz w:val="22"/>
          <w:szCs w:val="22"/>
        </w:rPr>
        <w:t xml:space="preserve">I led adoption of Optimizely for feature flagging at Capital One — validated it with K6 performance testing before proposing it, then got it adopted org-wide as a standard part of our release strategy, which let teams ship behind flags and de-risk releases instead of doing all-or-nothing deploys. On the testing side, I do manual regression testing on our wire transfer components before every release as a safeguard, but I've also worked on formal integration test coverage as part of a broader initiative to bring services up to enterprise standards. I think of CI/CD maturity as a spectrum — automated tests catch known risk, feature flags de-risk the unknown risk, and the two together are what actually let you deploy frequently without dreading it.</w:t>
      </w:r>
    </w:p>
    <w:p>
      <w:pPr>
        <w:pStyle w:val="Heading3"/>
        <w:spacing w:after="60" w:before="100"/>
      </w:pPr>
      <w:r>
        <w:rPr>
          <w:b/>
          <w:bCs/>
          <w:sz w:val="22"/>
          <w:szCs w:val="22"/>
        </w:rPr>
        <w:t xml:space="preserve">“How do you approach documentation on a complex system?”</w:t>
      </w:r>
    </w:p>
    <w:p>
      <w:pPr>
        <w:spacing w:after="140"/>
      </w:pPr>
      <w:r>
        <w:rPr>
          <w:sz w:val="22"/>
          <w:szCs w:val="22"/>
        </w:rPr>
        <w:t xml:space="preserve">My Step Functions V2 redesign is the clearest example — I inherited a system with almost no documentation and had to trace real execution paths to understand it, which taught me what bad documentation costs a new engineer. When I built the redesign, I made documentation part of the deliverable, not an afterthought — reusable templates for both engineers and product owners, specifically because the whole point of the redesign was to cut onboarding time from weeks to hours, and none of that mattered if the next person still had to reverse-engineer the system to use it.</w:t>
      </w:r>
    </w:p>
    <w:p>
      <w:pPr>
        <w:pStyle w:val="Heading3"/>
        <w:spacing w:after="60" w:before="100"/>
      </w:pPr>
      <w:r>
        <w:rPr>
          <w:b/>
          <w:bCs/>
          <w:sz w:val="22"/>
          <w:szCs w:val="22"/>
        </w:rPr>
        <w:t xml:space="preserve">“Tell me about your experience collaborating with DBAs, network engineers, or third-party vendors.”</w:t>
      </w:r>
    </w:p>
    <w:p>
      <w:pPr>
        <w:spacing w:after="140"/>
      </w:pPr>
      <w:r>
        <w:rPr>
          <w:sz w:val="22"/>
          <w:szCs w:val="22"/>
        </w:rPr>
        <w:t xml:space="preserve">The Payee Management Platform migration is the most direct example — I was integrating against a platform owned by a different team entirely, so I didn't control the schema or the roadmap, and had to work through what our contract with that platform needed to look like collaboratively rather than unilaterally. On the Gen2→Gen3 side, cross-account IAM and backup/restore work meant coordinating with whoever owned account-level security posture, since I couldn't just modify permissions unilaterally on infrastructure I didn't fully own.</w:t>
      </w:r>
    </w:p>
    <w:p>
      <w:pPr>
        <w:pStyle w:val="Heading3"/>
        <w:spacing w:after="60" w:before="100"/>
      </w:pPr>
      <w:r>
        <w:rPr>
          <w:b/>
          <w:bCs/>
          <w:sz w:val="22"/>
          <w:szCs w:val="22"/>
        </w:rPr>
        <w:t xml:space="preserve">“How do you balance shipping quickly vs. managing technical debt?”</w:t>
      </w:r>
    </w:p>
    <w:p>
      <w:pPr>
        <w:spacing w:after="140"/>
      </w:pPr>
      <w:r>
        <w:rPr>
          <w:sz w:val="22"/>
          <w:szCs w:val="22"/>
        </w:rPr>
        <w:t xml:space="preserve">I took ownership of bringing several services up to enterprise standard — migrating to distroless container images, adding integration test coverage, standardizing SLO monitoring — work that kept getting deprioritized because it didn't tie to a feature launch, but was creating real long-term risk. I think the honest answer is you can't always win that argument on “someday this will bite us” — I made it concrete instead: framed it as reduced security surface area and avoided audit escalations, not abstract cleanliness, which made it easier to actually get prioritized.</w:t>
      </w:r>
    </w:p>
    <w:p>
      <w:pPr>
        <w:pStyle w:val="Heading3"/>
        <w:spacing w:after="60" w:before="100"/>
      </w:pPr>
      <w:r>
        <w:rPr>
          <w:b/>
          <w:bCs/>
          <w:sz w:val="22"/>
          <w:szCs w:val="22"/>
        </w:rPr>
        <w:t xml:space="preserve">“What's your experience with containerization?”</w:t>
      </w:r>
    </w:p>
    <w:p>
      <w:pPr>
        <w:spacing w:after="140"/>
      </w:pPr>
      <w:r>
        <w:rPr>
          <w:sz w:val="22"/>
          <w:szCs w:val="22"/>
        </w:rPr>
        <w:t xml:space="preserve">Directly tied to the enterprise-standards work above — migrating our services to distroless images specifically to reduce vulnerability exposure, since distroless images strip out the shell and package managers that make a container easier to exploit if compromised. It's a good example of a security improvement that doesn't require a product decision, just engineering follow-through.</w:t>
      </w:r>
    </w:p>
    <w:p>
      <w:pPr>
        <w:pStyle w:val="Heading3"/>
        <w:spacing w:after="60" w:before="100"/>
      </w:pPr>
      <w:r>
        <w:rPr>
          <w:b/>
          <w:bCs/>
          <w:sz w:val="22"/>
          <w:szCs w:val="22"/>
        </w:rPr>
        <w:t xml:space="preserve">“How would you handle being paged for a production issue outside of work hours?”</w:t>
      </w:r>
    </w:p>
    <w:p>
      <w:pPr>
        <w:spacing w:after="100"/>
      </w:pPr>
      <w:r>
        <w:rPr>
          <w:sz w:val="22"/>
          <w:szCs w:val="22"/>
        </w:rPr>
        <w:t xml:space="preserve">My retry-storm incident is the clearest version of this — get the immediate stopgap in place first (I bumped desired task count) before fully understanding root cause, since restoring service takes priority over a complete diagnosis in the moment. Then trace it properly once things are stable, which is how I found the actual retry-storm mechanism rather than just declaring victory once the symptom went away.</w:t>
      </w:r>
    </w:p>
    <w:p>
      <w:pPr>
        <w:pStyle w:val="Heading3"/>
        <w:spacing w:after="60" w:before="100"/>
      </w:pPr>
      <w:r>
        <w:rPr>
          <w:b/>
          <w:bCs/>
          <w:sz w:val="22"/>
          <w:szCs w:val="22"/>
        </w:rPr>
        <w:t xml:space="preserve">“How do you measure or verify correctness of a system?”</w:t>
      </w:r>
    </w:p>
    <w:p>
      <w:pPr>
        <w:spacing w:after="100"/>
      </w:pPr>
      <w:r>
        <w:rPr>
          <w:sz w:val="22"/>
          <w:szCs w:val="22"/>
        </w:rPr>
        <w:t xml:space="preserve">I don't treat correctness as something you assert once and move on from — I treat it as something you have to keep proving under real conditions, not just in a test environment. On the Gen2→Gen3 wire fee migration, correctness meant the Reconcile Lambda comparing source and destination records by primary key and only writing where they actually differed, plus using that same reconciliation process for pre-cutover sanity checks — segmenting records and feeding them back through the Lambda to validate consistency before I trusted the new environment as the source of truth. Because the system carried a status field driving downstream fee actions, correctness there specifically meant no double-fired or skipped actions, not just “the numbers match.” On the day-to-day side, I do manual regression testing on our wire transfer components before every release, since a subtle validation mismatch that looks harmless on the surface can be a real compliance or fraud exposure underneath. The common thread is: don't just verify correctness once at build time — build a way to keep verifying it continuously, especially anywhere two systems have to agree with each other or where a small inconsistency could compound into something bigger downstream.</w:t>
      </w:r>
    </w:p>
    <w:p>
      <w:pPr>
        <w:spacing w:before="200"/>
      </w:pPr>
      <w:r>
        <w:br/>
        <w:t xml:space="preserve"/>
      </w:r>
    </w:p>
    <w:p>
      <w:pPr>
        <w:pStyle w:val="Heading2"/>
        <w:pBdr>
          <w:bottom w:val="single" w:color="1F3864" w:sz="6" w:space="4"/>
        </w:pBdr>
        <w:spacing w:after="120" w:before="320"/>
      </w:pPr>
      <w:r>
        <w:rPr>
          <w:b/>
          <w:bCs/>
          <w:color w:val="1F3864"/>
          <w:sz w:val="26"/>
          <w:szCs w:val="26"/>
        </w:rPr>
        <w:t xml:space="preserve">9. HR Answers, Corrected for This JD</w:t>
      </w:r>
    </w:p>
    <w:p>
      <w:pPr>
        <w:spacing w:after="120"/>
      </w:pPr>
      <w:r>
        <w:rPr>
          <w:i/>
          <w:iCs/>
          <w:color w:val="555555"/>
          <w:sz w:val="22"/>
          <w:szCs w:val="22"/>
        </w:rPr>
        <w:t xml:space="preserve">Your original HR prep doc was written around a “quant developer sitting inside the Research group” framing, which doesn't match this posting. This role is Investment Data Systems: engaging with business/technology leaders, leading cloud-native adoption, and weighing custom development against packaged platforms. These are the corrected versions — use these over the originals for this interview.</w:t>
      </w:r>
    </w:p>
    <w:p>
      <w:pPr>
        <w:pStyle w:val="Heading3"/>
        <w:spacing w:after="60" w:before="160"/>
      </w:pPr>
      <w:r>
        <w:rPr>
          <w:b/>
          <w:bCs/>
          <w:sz w:val="22"/>
          <w:szCs w:val="22"/>
        </w:rPr>
        <w:t xml:space="preserve">“Tell me about yourself” — corrected ending</w:t>
      </w:r>
    </w:p>
    <w:p>
      <w:pPr>
        <w:spacing w:after="140"/>
      </w:pPr>
      <w:r>
        <w:rPr>
          <w:i/>
          <w:iCs/>
          <w:sz w:val="22"/>
          <w:szCs w:val="22"/>
        </w:rPr>
        <w:t xml:space="preserve">…which is a big part of why the Investment Data Systems role at Arrowstreet is appealing to me — it's engineering that sits close to the actual investment operations it supports, at a firm that's stayed research-driven even as it's scaled to managing hundreds of billions of dollars.</w:t>
      </w:r>
    </w:p>
    <w:p>
      <w:pPr>
        <w:pStyle w:val="Heading3"/>
        <w:spacing w:after="60" w:before="100"/>
      </w:pPr>
      <w:r>
        <w:rPr>
          <w:b/>
          <w:bCs/>
          <w:sz w:val="22"/>
          <w:szCs w:val="22"/>
        </w:rPr>
        <w:t xml:space="preserve">“Why Arrowstreet?” — full rewrite</w:t>
      </w:r>
    </w:p>
    <w:p>
      <w:pPr>
        <w:spacing w:after="140"/>
      </w:pPr>
      <w:r>
        <w:rPr>
          <w:sz w:val="22"/>
          <w:szCs w:val="22"/>
        </w:rPr>
        <w:t xml:space="preserve">I'm drawn to Arrowstreet because it sits at the intersection of rigorous, research-driven investment management and the technology that has to actually support that reliably at scale — not research in isolation. The fact that it was founded by academic economists and has stayed research-led while scaling to hundreds of billions of dollars under management tells me the firm still cares about getting things right, not just shipping something that technically runs. The Investment Data Systems role specifically appeals to me for a few concrete reasons: the JD talks about engaging directly with business and technology leaders to evaluate tradeoffs and lead adoption of cloud-native designs, which is a faster, more embedded loop between engineering and real investment operations than I've had at a large regulated bank. I also like that the role explicitly weighs custom development against packaged platforms — that's a real engineering judgment call, not just implementation, and it's the kind of tradeoff-driven work I want more of. And practically, this is a smaller, more focused team automating investment processes directly, so the distance between a technical decision and its real-world effect is much shorter than in consumer banking.</w:t>
      </w:r>
    </w:p>
    <w:p>
      <w:pPr>
        <w:pStyle w:val="Heading3"/>
        <w:spacing w:after="60" w:before="100"/>
      </w:pPr>
      <w:r>
        <w:rPr>
          <w:b/>
          <w:bCs/>
          <w:sz w:val="22"/>
          <w:szCs w:val="22"/>
        </w:rPr>
        <w:t xml:space="preserve">“Why this role specifically — Investment Data Systems, not just software engineering generally?” (replaces “why quant developer, not quant researcher”)</w:t>
      </w:r>
    </w:p>
    <w:p>
      <w:pPr>
        <w:spacing w:after="140"/>
      </w:pPr>
      <w:r>
        <w:rPr>
          <w:sz w:val="22"/>
          <w:szCs w:val="22"/>
        </w:rPr>
        <w:t xml:space="preserve">I like building the systems and infrastructure that let investment operations actually run reliably and efficiently — that's a different kind of interesting than a generic consumer-facing product role. My Gen2-to-Gen3 migration is a good example of pure engineering rigor under real financial constraints, and my basketball analytics work is the closer analogue to what I'd want this role to feel like: I didn't just build a pipeline, I built the statistical model itself — the shrinkage estimators, the circuit-weighting logic, the CV and NLP layers — because I think being effective in a domain like this means understanding enough about what the business actually needs, not just executing tickets on top of a system I don't understand. I want to be close enough to the investment processes this team automates to understand what they actually need, while owning the engineering rigor that makes it trustworthy in production.</w:t>
      </w:r>
    </w:p>
    <w:p>
      <w:pPr>
        <w:pStyle w:val="Heading3"/>
        <w:spacing w:after="60" w:before="100"/>
      </w:pPr>
      <w:r>
        <w:rPr>
          <w:b/>
          <w:bCs/>
          <w:sz w:val="22"/>
          <w:szCs w:val="22"/>
        </w:rPr>
        <w:t xml:space="preserve">“How do you work with people who aren't engineers — business leads, PMs, coaches?” (dropped “traders” — this JD doesn't describe a desk-facing role)</w:t>
      </w:r>
    </w:p>
    <w:p>
      <w:pPr>
        <w:spacing w:after="140"/>
      </w:pPr>
      <w:r>
        <w:rPr>
          <w:i/>
          <w:iCs/>
          <w:color w:val="555555"/>
          <w:sz w:val="22"/>
          <w:szCs w:val="22"/>
        </w:rPr>
        <w:t xml:space="preserve">Content unchanged from the original — the basketball and Payee examples both still hold up well here. Just don't reference traders when framing the question; keep it to business leads, product owners, and non-technical stakeholders generally, since that matches what this JD actually describes.</w:t>
      </w:r>
    </w:p>
    <w:p>
      <w:pPr>
        <w:pStyle w:val="Heading3"/>
        <w:spacing w:after="60" w:before="100"/>
      </w:pPr>
      <w:r>
        <w:rPr>
          <w:b/>
          <w:bCs/>
          <w:sz w:val="22"/>
          <w:szCs w:val="22"/>
        </w:rPr>
        <w:t xml:space="preserve">“What are you looking for in your next role?” — corrected</w:t>
      </w:r>
    </w:p>
    <w:p>
      <w:pPr>
        <w:spacing w:after="140"/>
      </w:pPr>
      <w:r>
        <w:rPr>
          <w:sz w:val="22"/>
          <w:szCs w:val="22"/>
        </w:rPr>
        <w:t xml:space="preserve">I want to work somewhere technical decisions have a faster, more measurable feedback loop than I've had in consumer banking — where you build something and, within a reasonable window, actually know whether it worked, rather than waiting on long release and adoption cycles. Investment operations are appealing for that reason specifically — the systems directly support real investment activity, so there's a much shorter distance between a technical decision and its real-world effect than in a large consumer product. I also want a role where the engineering work sits close to the actual business processes it's automating rather than being purely feature work several layers removed from why it matters, which is part of why I've kept building out my own analytics system outside of work — I want that kind of proximity to be a bigger part of my actual job, not just a side project.</w:t>
      </w:r>
    </w:p>
    <w:p>
      <w:pPr>
        <w:pStyle w:val="Heading3"/>
        <w:spacing w:after="60" w:before="100"/>
      </w:pPr>
      <w:r>
        <w:rPr>
          <w:b/>
          <w:bCs/>
          <w:sz w:val="22"/>
          <w:szCs w:val="22"/>
        </w:rPr>
        <w:t xml:space="preserve">“Why are you leaving Capital One?” — corrected closing line</w:t>
      </w:r>
    </w:p>
    <w:p>
      <w:pPr>
        <w:spacing w:after="100"/>
      </w:pPr>
      <w:r>
        <w:rPr>
          <w:i/>
          <w:iCs/>
          <w:sz w:val="22"/>
          <w:szCs w:val="22"/>
        </w:rPr>
        <w:t xml:space="preserve">…which is part of why this Investment Data Systems role appeals to me specifically — it's engineering that sits close to the actual investment operations and business decisions it supports, not separated from them by layers of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2026-09-04T13:10:58.175Z</dcterms:created>
  <dcterms:modified xsi:type="dcterms:W3CDTF">2026-09-04T13:10:58.188Z</dcterms:modified>
</cp:coreProperties>
</file>

<file path=docProps/custom.xml><?xml version="1.0" encoding="utf-8"?>
<Properties xmlns="http://schemas.openxmlformats.org/officeDocument/2006/custom-properties" xmlns:vt="http://schemas.openxmlformats.org/officeDocument/2006/docPropsVTypes"/>
</file>